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1F1E" w14:textId="1C334ED4" w:rsidR="0075518C" w:rsidRPr="00FC3E4E" w:rsidRDefault="00FC3E4E">
      <w:pPr>
        <w:rPr>
          <w:b/>
          <w:bCs/>
          <w:sz w:val="26"/>
          <w:szCs w:val="26"/>
        </w:rPr>
      </w:pPr>
      <w:r w:rsidRPr="00FC3E4E">
        <w:rPr>
          <w:b/>
          <w:bCs/>
          <w:sz w:val="26"/>
          <w:szCs w:val="26"/>
        </w:rPr>
        <w:t>Projet de canevas de présentation des principaux produits statistiques de l’INSTAT</w:t>
      </w:r>
    </w:p>
    <w:tbl>
      <w:tblPr>
        <w:tblStyle w:val="TableauGrille2-Accentuation11"/>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02"/>
        <w:gridCol w:w="6407"/>
      </w:tblGrid>
      <w:tr w:rsidR="00FC3E4E" w:rsidRPr="000D614F" w14:paraId="13965D81" w14:textId="77777777" w:rsidTr="00794B68">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65"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5A69A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486" w:type="pct"/>
            <w:tcBorders>
              <w:top w:val="single" w:sz="4" w:space="0" w:color="auto"/>
            </w:tcBorders>
          </w:tcPr>
          <w:p w14:paraId="00006D20" w14:textId="6160E12C" w:rsidR="00FC3E4E" w:rsidRPr="000D614F" w:rsidRDefault="00FC3E4E" w:rsidP="00043188">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278" w:type="pct"/>
            <w:tcBorders>
              <w:top w:val="single" w:sz="4" w:space="0" w:color="auto"/>
            </w:tcBorders>
            <w:vAlign w:val="center"/>
          </w:tcPr>
          <w:p w14:paraId="1165F90B" w14:textId="77777777" w:rsidR="00FE4BAF" w:rsidRDefault="007E5DCF"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Département de la Recherche, de la Normalisation et des Enquêtes Statistiques (DNRE).</w:t>
            </w:r>
          </w:p>
          <w:p w14:paraId="2B670239" w14:textId="2AAA4AAF" w:rsidR="007E5DCF" w:rsidRPr="00FE4BAF" w:rsidRDefault="00FE4BAF" w:rsidP="00FE4BA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E4BAF">
              <w:rPr>
                <w:sz w:val="24"/>
                <w:szCs w:val="24"/>
              </w:rPr>
              <w:t>Le département est chargé de : (i) promouvoir le développement des sciences statistiques et de la recherche économique appliquée relevant du domaine de compétence de l’INSTAT en relation avec les institutions de recherche et les Universités ; (ii) veiller à la mise en application des méthodes, concepts, définitions, normes, classifications et nomenclatures approuvés par le Comité scientifique, (iii) élaborer les méthodes et concepts, (iv) définir les normes, classifications, nomenclatures et autres outils de collecte et d’exploitation des enquêtes statistiques et (v) participer à la conception et à la réalisation des opérations de collecte pour toutes enquêtes statistiques d’envergure nationale.</w:t>
            </w:r>
            <w:r w:rsidR="007E5DCF" w:rsidRPr="00FE4BAF">
              <w:rPr>
                <w:bCs/>
                <w:sz w:val="24"/>
                <w:szCs w:val="24"/>
              </w:rPr>
              <w:t xml:space="preserve"> </w:t>
            </w:r>
          </w:p>
        </w:tc>
      </w:tr>
      <w:tr w:rsidR="00FC3E4E" w:rsidRPr="000D614F" w14:paraId="0761B1B5" w14:textId="77777777" w:rsidTr="005A69A1">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486" w:type="pct"/>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3278" w:type="pct"/>
            <w:vAlign w:val="center"/>
          </w:tcPr>
          <w:p w14:paraId="3D97E60F" w14:textId="2A09158F" w:rsidR="00FC3E4E" w:rsidRPr="000D614F" w:rsidRDefault="0005120D"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Rapport de l’</w:t>
            </w:r>
            <w:r w:rsidR="00FE4BAF" w:rsidRPr="007E5DCF">
              <w:rPr>
                <w:sz w:val="24"/>
                <w:szCs w:val="24"/>
              </w:rPr>
              <w:t>E</w:t>
            </w:r>
            <w:r w:rsidR="00682895">
              <w:rPr>
                <w:sz w:val="24"/>
                <w:szCs w:val="24"/>
              </w:rPr>
              <w:t>nquête Démographique et de Santé du Mali</w:t>
            </w:r>
            <w:r w:rsidR="00FE4BAF" w:rsidRPr="007E5DCF">
              <w:rPr>
                <w:sz w:val="24"/>
                <w:szCs w:val="24"/>
              </w:rPr>
              <w:t xml:space="preserve"> (EDS</w:t>
            </w:r>
            <w:r w:rsidR="00682895">
              <w:rPr>
                <w:sz w:val="24"/>
                <w:szCs w:val="24"/>
              </w:rPr>
              <w:t>M</w:t>
            </w:r>
            <w:r w:rsidR="00FE4BAF" w:rsidRPr="007E5DCF">
              <w:rPr>
                <w:sz w:val="24"/>
                <w:szCs w:val="24"/>
              </w:rPr>
              <w:t xml:space="preserve">) </w:t>
            </w:r>
          </w:p>
        </w:tc>
      </w:tr>
      <w:tr w:rsidR="00FC3E4E" w:rsidRPr="000D614F" w14:paraId="08F19868" w14:textId="77777777" w:rsidTr="005A69A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486" w:type="pct"/>
            <w:vAlign w:val="center"/>
          </w:tcPr>
          <w:p w14:paraId="5C7406C7" w14:textId="1509E759" w:rsidR="00FC3E4E" w:rsidRPr="000D614F" w:rsidRDefault="005A69A1"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Objectif</w:t>
            </w:r>
            <w:r w:rsidR="00655B70">
              <w:rPr>
                <w:bCs/>
                <w:sz w:val="24"/>
                <w:szCs w:val="24"/>
              </w:rPr>
              <w:t xml:space="preserve"> </w:t>
            </w:r>
            <w:r>
              <w:rPr>
                <w:bCs/>
                <w:sz w:val="24"/>
                <w:szCs w:val="24"/>
              </w:rPr>
              <w:t>principal</w:t>
            </w:r>
            <w:r w:rsidR="003465DD" w:rsidRPr="000D614F">
              <w:rPr>
                <w:bCs/>
                <w:sz w:val="24"/>
                <w:szCs w:val="24"/>
              </w:rPr>
              <w:t xml:space="preserve"> du produit et </w:t>
            </w:r>
            <w:r w:rsidR="00DC3600" w:rsidRPr="000D614F">
              <w:rPr>
                <w:bCs/>
                <w:sz w:val="24"/>
                <w:szCs w:val="24"/>
              </w:rPr>
              <w:t>son h</w:t>
            </w:r>
            <w:r w:rsidR="00FC3E4E" w:rsidRPr="000D614F">
              <w:rPr>
                <w:bCs/>
                <w:sz w:val="24"/>
                <w:szCs w:val="24"/>
              </w:rPr>
              <w:t xml:space="preserve">istorique </w:t>
            </w:r>
          </w:p>
        </w:tc>
        <w:tc>
          <w:tcPr>
            <w:tcW w:w="3278" w:type="pct"/>
            <w:vAlign w:val="center"/>
          </w:tcPr>
          <w:p w14:paraId="2E5F6E85" w14:textId="5A360683" w:rsidR="00682895" w:rsidRDefault="00682895" w:rsidP="00BA1F57">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L’EDS est Réalisée</w:t>
            </w:r>
            <w:r w:rsidR="007E5DCF" w:rsidRPr="007E5DCF">
              <w:rPr>
                <w:sz w:val="24"/>
                <w:szCs w:val="24"/>
              </w:rPr>
              <w:t xml:space="preserve"> par la CPS Santé avec l’appui techniqu</w:t>
            </w:r>
            <w:r>
              <w:rPr>
                <w:sz w:val="24"/>
                <w:szCs w:val="24"/>
              </w:rPr>
              <w:t xml:space="preserve">e de l’INSTAT et de l’ICF-Macro. </w:t>
            </w:r>
          </w:p>
          <w:p w14:paraId="0390AA23" w14:textId="01B7CC6A" w:rsidR="00682895" w:rsidRDefault="00682895" w:rsidP="00BA1F57">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Elle </w:t>
            </w:r>
            <w:r w:rsidRPr="00682895">
              <w:rPr>
                <w:sz w:val="24"/>
                <w:szCs w:val="24"/>
              </w:rPr>
              <w:t>a pour objectif principal de</w:t>
            </w:r>
            <w:r>
              <w:rPr>
                <w:sz w:val="24"/>
                <w:szCs w:val="24"/>
              </w:rPr>
              <w:t xml:space="preserve"> fournir des estimations à jour, </w:t>
            </w:r>
            <w:r w:rsidRPr="00682895">
              <w:rPr>
                <w:sz w:val="24"/>
                <w:szCs w:val="24"/>
              </w:rPr>
              <w:t xml:space="preserve">des indicateurs </w:t>
            </w:r>
            <w:r>
              <w:rPr>
                <w:sz w:val="24"/>
                <w:szCs w:val="24"/>
              </w:rPr>
              <w:t>socio</w:t>
            </w:r>
            <w:r w:rsidRPr="00682895">
              <w:rPr>
                <w:sz w:val="24"/>
                <w:szCs w:val="24"/>
              </w:rPr>
              <w:t xml:space="preserve">démographiques, </w:t>
            </w:r>
            <w:r>
              <w:rPr>
                <w:sz w:val="24"/>
                <w:szCs w:val="24"/>
              </w:rPr>
              <w:t xml:space="preserve">économiques, </w:t>
            </w:r>
            <w:r w:rsidRPr="00682895">
              <w:rPr>
                <w:sz w:val="24"/>
                <w:szCs w:val="24"/>
              </w:rPr>
              <w:t>sanitaires et nutr</w:t>
            </w:r>
            <w:r>
              <w:rPr>
                <w:sz w:val="24"/>
                <w:szCs w:val="24"/>
              </w:rPr>
              <w:t xml:space="preserve">itionnels de base afin de faciliter l’élaboration, </w:t>
            </w:r>
            <w:r w:rsidRPr="00682895">
              <w:rPr>
                <w:sz w:val="24"/>
                <w:szCs w:val="24"/>
              </w:rPr>
              <w:t>la mise en œuvre, le suivi et l’évaluation des programmes liés à la population et à la santé.</w:t>
            </w:r>
          </w:p>
          <w:p w14:paraId="6A34DC3A" w14:textId="14B2C5C0" w:rsidR="007E5DCF" w:rsidRPr="000D614F" w:rsidRDefault="00682895" w:rsidP="00682895">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w:t>
            </w:r>
            <w:r>
              <w:rPr>
                <w:b/>
                <w:bCs/>
                <w:sz w:val="24"/>
                <w:szCs w:val="24"/>
              </w:rPr>
              <w:t xml:space="preserve">es différentes éditions </w:t>
            </w:r>
            <w:r w:rsidR="007E5DCF" w:rsidRPr="007E5DCF">
              <w:rPr>
                <w:b/>
                <w:bCs/>
                <w:sz w:val="24"/>
                <w:szCs w:val="24"/>
              </w:rPr>
              <w:t xml:space="preserve">: </w:t>
            </w:r>
            <w:r w:rsidR="007E5DCF" w:rsidRPr="007E5DCF">
              <w:rPr>
                <w:sz w:val="24"/>
                <w:szCs w:val="24"/>
              </w:rPr>
              <w:t>EDSM-1987, EDSM-1996, EDSM-2001, EDSM-2006, EDSM-2012-2013, EDSM-2018 et EDSM-2023-2024 (en cours).</w:t>
            </w:r>
          </w:p>
        </w:tc>
      </w:tr>
      <w:tr w:rsidR="00FC3E4E" w:rsidRPr="000D614F" w14:paraId="5E29D9C3" w14:textId="77777777" w:rsidTr="005A69A1">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486"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Méthodologie</w:t>
            </w:r>
            <w:r w:rsidR="00B82C3E" w:rsidRPr="000D614F">
              <w:rPr>
                <w:bCs/>
                <w:sz w:val="24"/>
                <w:szCs w:val="24"/>
              </w:rPr>
              <w:t xml:space="preserve"> utilisée </w:t>
            </w:r>
            <w:r w:rsidR="00B82C3E" w:rsidRPr="00B61243">
              <w:rPr>
                <w:bCs/>
                <w:sz w:val="24"/>
                <w:szCs w:val="24"/>
                <w:u w:val="single"/>
              </w:rPr>
              <w:t>ou aperçu sur l’interface s’il s’agit d’une base de données ou site web</w:t>
            </w:r>
          </w:p>
        </w:tc>
        <w:tc>
          <w:tcPr>
            <w:tcW w:w="3278" w:type="pct"/>
            <w:vAlign w:val="center"/>
          </w:tcPr>
          <w:p w14:paraId="19D04E88" w14:textId="5DEB9545" w:rsidR="00003868"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w:t>
            </w:r>
            <w:r w:rsidR="00FE4BAF" w:rsidRPr="00720167">
              <w:rPr>
                <w:sz w:val="24"/>
                <w:szCs w:val="24"/>
              </w:rPr>
              <w:t xml:space="preserve">nquête par </w:t>
            </w:r>
            <w:r>
              <w:rPr>
                <w:sz w:val="24"/>
                <w:szCs w:val="24"/>
              </w:rPr>
              <w:t xml:space="preserve">sondage, </w:t>
            </w:r>
            <w:r w:rsidR="00FE4BAF" w:rsidRPr="00720167">
              <w:rPr>
                <w:sz w:val="24"/>
                <w:szCs w:val="24"/>
              </w:rPr>
              <w:t xml:space="preserve">aréolaire </w:t>
            </w:r>
            <w:r>
              <w:rPr>
                <w:sz w:val="24"/>
                <w:szCs w:val="24"/>
              </w:rPr>
              <w:t xml:space="preserve">et </w:t>
            </w:r>
            <w:r w:rsidR="00FE4BAF" w:rsidRPr="00720167">
              <w:rPr>
                <w:sz w:val="24"/>
                <w:szCs w:val="24"/>
              </w:rPr>
              <w:t>stratifié à deux degrés</w:t>
            </w:r>
            <w:r>
              <w:rPr>
                <w:sz w:val="24"/>
                <w:szCs w:val="24"/>
              </w:rPr>
              <w:t xml:space="preserve">. </w:t>
            </w:r>
          </w:p>
          <w:p w14:paraId="48360EC9" w14:textId="77777777" w:rsidR="00720167"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Au premier degré, un échantillon d’unité primaires de sondage(UPS) ou grappes est tiré systématiquement avec une probabilité proportionnelle à leur taille en ménage à partir de la liste des sections d’énumération établie au cours du RGPH le plus récent. </w:t>
            </w:r>
          </w:p>
          <w:p w14:paraId="68F1CB67" w14:textId="77777777" w:rsidR="00E75DAD" w:rsidRDefault="00E75DAD"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Au second degré, on procède à un tirage systématique à probabilité égale d’un nombre fixe de ménages dans chaque SE/grappe.   </w:t>
            </w:r>
            <w:r w:rsidR="00720167">
              <w:rPr>
                <w:sz w:val="24"/>
                <w:szCs w:val="24"/>
              </w:rPr>
              <w:t xml:space="preserve"> </w:t>
            </w:r>
          </w:p>
          <w:p w14:paraId="0BA78AE4" w14:textId="77777777" w:rsidR="00003868" w:rsidRPr="00E75DAD" w:rsidRDefault="00FE4BAF" w:rsidP="00E75DAD">
            <w:p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b/>
                <w:bCs/>
                <w:sz w:val="24"/>
                <w:szCs w:val="24"/>
              </w:rPr>
              <w:t xml:space="preserve">Outils de collecte : </w:t>
            </w:r>
            <w:r w:rsidRPr="00E75DAD">
              <w:rPr>
                <w:sz w:val="24"/>
                <w:szCs w:val="24"/>
              </w:rPr>
              <w:t>en général, quatre questionnaires sont utilisés pour EDS:</w:t>
            </w:r>
          </w:p>
          <w:p w14:paraId="3588033A" w14:textId="77777777" w:rsidR="00003868" w:rsidRPr="00E75DAD" w:rsidRDefault="00FE4BAF" w:rsidP="00E75DAD">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ménage ;</w:t>
            </w:r>
          </w:p>
          <w:p w14:paraId="3DF09CF7" w14:textId="77777777" w:rsidR="00003868" w:rsidRPr="00E75DAD" w:rsidRDefault="00FE4BAF" w:rsidP="00E75DAD">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individuel femme ;</w:t>
            </w:r>
          </w:p>
          <w:p w14:paraId="52C281DA" w14:textId="77777777" w:rsidR="00003868" w:rsidRPr="00E75DAD" w:rsidRDefault="00FE4BAF" w:rsidP="00E75DAD">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individuel homme ;</w:t>
            </w:r>
          </w:p>
          <w:p w14:paraId="50C62FF0" w14:textId="62E62CB4" w:rsidR="00FC3E4E" w:rsidRPr="00E75DAD" w:rsidRDefault="00FE4BAF" w:rsidP="00BA1F57">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sz w:val="24"/>
                <w:szCs w:val="24"/>
              </w:rPr>
              <w:t>Questionnaire biomarqueurs</w:t>
            </w:r>
          </w:p>
        </w:tc>
      </w:tr>
      <w:tr w:rsidR="005A69A1" w:rsidRPr="000D614F" w14:paraId="6798F5E1" w14:textId="77777777" w:rsidTr="005A69A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0693E3F0" w14:textId="77777777" w:rsidR="005A69A1" w:rsidRPr="000D614F" w:rsidRDefault="005A69A1" w:rsidP="005A69A1">
            <w:pPr>
              <w:rPr>
                <w:b w:val="0"/>
                <w:sz w:val="24"/>
                <w:szCs w:val="24"/>
              </w:rPr>
            </w:pPr>
            <w:r w:rsidRPr="000D614F">
              <w:rPr>
                <w:b w:val="0"/>
                <w:sz w:val="24"/>
                <w:szCs w:val="24"/>
              </w:rPr>
              <w:t>5</w:t>
            </w:r>
          </w:p>
        </w:tc>
        <w:tc>
          <w:tcPr>
            <w:tcW w:w="1486" w:type="pct"/>
            <w:vAlign w:val="center"/>
          </w:tcPr>
          <w:p w14:paraId="729C1659" w14:textId="28128D4A" w:rsidR="005A69A1" w:rsidRPr="00B61243" w:rsidRDefault="005A69A1" w:rsidP="005A69A1">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 clés renseignés (</w:t>
            </w:r>
            <w:r w:rsidRPr="00B61243">
              <w:rPr>
                <w:bCs/>
                <w:sz w:val="24"/>
                <w:szCs w:val="24"/>
                <w:u w:val="single"/>
              </w:rPr>
              <w:t>ou</w:t>
            </w:r>
            <w:r w:rsidRPr="00B61243">
              <w:rPr>
                <w:bCs/>
                <w:sz w:val="24"/>
                <w:szCs w:val="24"/>
              </w:rPr>
              <w:t xml:space="preserve"> </w:t>
            </w:r>
            <w:r w:rsidRPr="00B61243">
              <w:rPr>
                <w:bCs/>
                <w:sz w:val="24"/>
                <w:szCs w:val="24"/>
                <w:u w:val="single"/>
              </w:rPr>
              <w:t xml:space="preserve">disponibles </w:t>
            </w:r>
            <w:r w:rsidRPr="00B61243">
              <w:rPr>
                <w:bCs/>
                <w:sz w:val="24"/>
                <w:szCs w:val="24"/>
                <w:u w:val="single"/>
              </w:rPr>
              <w:lastRenderedPageBreak/>
              <w:t>sur le site web/base de données le cas échéant)</w:t>
            </w:r>
          </w:p>
        </w:tc>
        <w:tc>
          <w:tcPr>
            <w:tcW w:w="3278" w:type="pct"/>
            <w:vAlign w:val="center"/>
          </w:tcPr>
          <w:p w14:paraId="47DF4C3F" w14:textId="77777777" w:rsidR="005A69A1" w:rsidRPr="00FD1BC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FD1BC1">
              <w:rPr>
                <w:b/>
              </w:rPr>
              <w:lastRenderedPageBreak/>
              <w:t xml:space="preserve">Niveau d’instruction  </w:t>
            </w:r>
          </w:p>
          <w:p w14:paraId="5C7CF2DD"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En 2018, deux tiers des femmes (66 %) et un peu plus de la moitié des hommes (53 %) n’ont aucun niveau d’instruction.</w:t>
            </w:r>
          </w:p>
          <w:p w14:paraId="407DEA4B" w14:textId="77777777" w:rsidR="005A69A1" w:rsidRPr="00FD1BC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FD1BC1">
              <w:rPr>
                <w:b/>
              </w:rPr>
              <w:t xml:space="preserve">Assurance médicale  </w:t>
            </w:r>
          </w:p>
          <w:p w14:paraId="58FED961"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p>
          <w:p w14:paraId="72F39E12" w14:textId="42146B8B"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 xml:space="preserve">La proportion des hommes non couvertes par l’assurance médicale est de 94 </w:t>
            </w:r>
            <w:r>
              <w:t>%</w:t>
            </w:r>
            <w:r>
              <w:t xml:space="preserve"> </w:t>
            </w:r>
            <w:r w:rsidR="00B06DE7">
              <w:t xml:space="preserve">pour les femmes </w:t>
            </w:r>
            <w:r>
              <w:t xml:space="preserve">et de </w:t>
            </w:r>
            <w:r>
              <w:t xml:space="preserve">95 % </w:t>
            </w:r>
            <w:r>
              <w:t xml:space="preserve">pour les hommes.  </w:t>
            </w:r>
          </w:p>
          <w:p w14:paraId="3277CE15" w14:textId="77777777" w:rsidR="005A69A1" w:rsidRPr="00FD1BC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FD1BC1">
              <w:rPr>
                <w:b/>
              </w:rPr>
              <w:t xml:space="preserve">Utilisation de tabac  </w:t>
            </w:r>
          </w:p>
          <w:p w14:paraId="3929CC54" w14:textId="4E864ECA"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Au Mali,</w:t>
            </w:r>
            <w:r>
              <w:t xml:space="preserve"> 1 % des femmes et 14 % des hommes consomment du tabac sous n’importe quelle forme.</w:t>
            </w:r>
          </w:p>
          <w:p w14:paraId="13907E0C" w14:textId="77777777" w:rsidR="005A69A1" w:rsidRPr="00FD1BC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FD1BC1">
              <w:rPr>
                <w:b/>
              </w:rPr>
              <w:t xml:space="preserve">Sources d’approvisionnement améliorées en eau de boisson </w:t>
            </w:r>
          </w:p>
          <w:p w14:paraId="2940496F"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 xml:space="preserve"> Environ sept ménages sur dix (69 %) utilisent l’eau de boisson provenant de sources améliorées. Ce pourcentage est nettement plus élevé en milieu urbain (95 %) qu’en milieu rural (62 %).</w:t>
            </w:r>
          </w:p>
          <w:p w14:paraId="224DEE35" w14:textId="77777777" w:rsidR="005A69A1" w:rsidRPr="00FD1BC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FD1BC1">
              <w:rPr>
                <w:b/>
              </w:rPr>
              <w:t xml:space="preserve">Composition et taille des ménages </w:t>
            </w:r>
          </w:p>
          <w:p w14:paraId="22B83AA7"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Un ménage au Mali compte, en moyenne, 5,8 personnes et plus de la moitié de la population (52 %) est âgée de moins de 15 ans.</w:t>
            </w:r>
          </w:p>
          <w:p w14:paraId="10AED284" w14:textId="77777777" w:rsidR="005A69A1" w:rsidRPr="00FD1BC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FD1BC1">
              <w:rPr>
                <w:b/>
              </w:rPr>
              <w:t xml:space="preserve">Fréquentation scolaire  </w:t>
            </w:r>
          </w:p>
          <w:p w14:paraId="1DCECE1F"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Le taux net de fréquentation scolaire au niveau primaire est de 51 % et il est de 30 % au niveau secondaire.</w:t>
            </w:r>
          </w:p>
          <w:p w14:paraId="21C64FA2"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 xml:space="preserve">État matrimonial actuel  </w:t>
            </w:r>
          </w:p>
          <w:p w14:paraId="4FE9C18F"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Un peu plus de huit femmes sur dix (81 %) et de six hommes sur dix (61 %) étaient en union au moment de l’enquête.</w:t>
            </w:r>
          </w:p>
          <w:p w14:paraId="55B35E45"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 xml:space="preserve">Polygamie  </w:t>
            </w:r>
          </w:p>
          <w:p w14:paraId="5D34564E" w14:textId="620BE64B" w:rsidR="005A69A1" w:rsidRDefault="009D630C" w:rsidP="005A69A1">
            <w:pPr>
              <w:jc w:val="both"/>
              <w:cnfStyle w:val="000000100000" w:firstRow="0" w:lastRow="0" w:firstColumn="0" w:lastColumn="0" w:oddVBand="0" w:evenVBand="0" w:oddHBand="1" w:evenHBand="0" w:firstRowFirstColumn="0" w:firstRowLastColumn="0" w:lastRowFirstColumn="0" w:lastRowLastColumn="0"/>
            </w:pPr>
            <w:r>
              <w:t xml:space="preserve">Le taux de polygamie est de 37 % chez les </w:t>
            </w:r>
            <w:r w:rsidR="005A69A1">
              <w:t xml:space="preserve">femmes </w:t>
            </w:r>
            <w:r>
              <w:t xml:space="preserve">en union </w:t>
            </w:r>
            <w:r w:rsidR="005A69A1">
              <w:t xml:space="preserve">et </w:t>
            </w:r>
            <w:r>
              <w:t xml:space="preserve">de 19 % chez les </w:t>
            </w:r>
            <w:r w:rsidR="005A69A1">
              <w:t>hommes en union.</w:t>
            </w:r>
          </w:p>
          <w:p w14:paraId="3BDFD4FD"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 xml:space="preserve">Âge à la première union  </w:t>
            </w:r>
          </w:p>
          <w:p w14:paraId="14FAC1E8" w14:textId="1F31A4E8"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 xml:space="preserve">Au Mali, </w:t>
            </w:r>
            <w:r>
              <w:t>18 % des femmes de 25-49 ans au moment de l’enquête étaient déjà en union avant d’atteindre l’âge exact de 15 ans et 53 % l’étaient déjà en union avant 18 ans exacts.</w:t>
            </w:r>
          </w:p>
          <w:p w14:paraId="72EDAC82"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 xml:space="preserve">Âge aux premiers rapports sexuels  </w:t>
            </w:r>
          </w:p>
          <w:p w14:paraId="22FFDF27"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L’âge médian aux premiers rapports sexuels est de 16,5 ans chez les femmes de 25-49 ans et de 21,0 ans chez les hommes de 25-49 ans.</w:t>
            </w:r>
          </w:p>
          <w:p w14:paraId="4D20B29C"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Fécondité</w:t>
            </w:r>
          </w:p>
          <w:p w14:paraId="7A70E389" w14:textId="4E90265B"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 xml:space="preserve">L’indice synthétique de fécondité est de 6,3 enfants par femme. </w:t>
            </w:r>
          </w:p>
          <w:p w14:paraId="57D5E8F1"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 xml:space="preserve">Fécondité des adolescentes </w:t>
            </w:r>
          </w:p>
          <w:p w14:paraId="44564E3A"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Dans l’ensemble, 36 % des adolescentes ont déjà commencé leur vie féconde : 30 % ont eu, au moins, un enfant et 6 % sont enceintes du premier enfant.</w:t>
            </w:r>
          </w:p>
          <w:p w14:paraId="3E03D765" w14:textId="77777777" w:rsidR="005A69A1" w:rsidRPr="00632BF3"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632BF3">
              <w:rPr>
                <w:b/>
              </w:rPr>
              <w:t>Planification familiale</w:t>
            </w:r>
          </w:p>
          <w:p w14:paraId="346B0CBE" w14:textId="7D8EB2CB"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rsidRPr="00632BF3">
              <w:rPr>
                <w:b/>
              </w:rPr>
              <w:t>Utilisation de la Contraception :</w:t>
            </w:r>
            <w:r>
              <w:t xml:space="preserve"> Parmi les femmes âgées de 15-49 ans, 15 % utilisaient une méthode contraceptive moderne au moment de l’enquête. </w:t>
            </w:r>
          </w:p>
          <w:p w14:paraId="09D4A0B4"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rsidRPr="00632BF3">
              <w:rPr>
                <w:b/>
              </w:rPr>
              <w:t>Besoins et demande en matière de planification familiale :</w:t>
            </w:r>
            <w:r>
              <w:t xml:space="preserve"> la proportion de femmes en union ayant des besoins non satisfaits en matière de planification familiale s’élève à 24 %, besoins orientés dans la majorité des cas vers l’espacement des naissances (17 %).</w:t>
            </w:r>
          </w:p>
          <w:p w14:paraId="3D25DE66" w14:textId="77777777" w:rsidR="005A69A1" w:rsidRPr="00075F5E"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075F5E">
              <w:rPr>
                <w:b/>
              </w:rPr>
              <w:t xml:space="preserve">Mortalité infantile et infanto juvénile </w:t>
            </w:r>
          </w:p>
          <w:p w14:paraId="70D1D40E"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Pour la période des 5 années ayant précédé l’enquête, sur 1 000 naissances vivantes, 101 sont décédées avant d’atteindre leur cinquième anniversaire.</w:t>
            </w:r>
          </w:p>
          <w:p w14:paraId="3CC11798"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Pour la période des 5 années ayant précédé l’enquête, sur 1 000 enfants nés vivants, 54 sont décédés avant leur premier anniversaire.</w:t>
            </w:r>
          </w:p>
          <w:p w14:paraId="56B2FB75" w14:textId="77777777" w:rsidR="005A69A1" w:rsidRPr="00075F5E"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075F5E">
              <w:rPr>
                <w:b/>
              </w:rPr>
              <w:t>Santé maternelle</w:t>
            </w:r>
          </w:p>
          <w:p w14:paraId="2B659E28" w14:textId="6B011673"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rsidRPr="00075F5E">
              <w:rPr>
                <w:b/>
              </w:rPr>
              <w:t>Couverture en soins prénatals :</w:t>
            </w:r>
            <w:r>
              <w:t xml:space="preserve"> Parmi les femmes ayant eu une naissance vivante au cours des 5 années ayant précédé l’enquête, 80 </w:t>
            </w:r>
            <w:r>
              <w:lastRenderedPageBreak/>
              <w:t xml:space="preserve">% ont reçu, pour la naissance la plus récente, des soins prénatals dispensés par un prestataire formé ; 43 % ont effectué au moins les quatre </w:t>
            </w:r>
            <w:r w:rsidR="009D630C">
              <w:t xml:space="preserve">visites prénatales recommandées. </w:t>
            </w:r>
          </w:p>
          <w:p w14:paraId="74713886"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rsidRPr="00075F5E">
              <w:rPr>
                <w:b/>
              </w:rPr>
              <w:t>Lieu et assistance à l’accouchement :</w:t>
            </w:r>
            <w:r>
              <w:t xml:space="preserve"> Parmi les naissances vivantes ayant eu lieu au cours des 5 années ayant précédé l’enquête, 67 % ont eu lieu dans un établissement de santé. À l’opposé, 33 % ont eu lieu à la maison. </w:t>
            </w:r>
          </w:p>
          <w:p w14:paraId="36925E46" w14:textId="77777777" w:rsidR="005A69A1" w:rsidRPr="00075F5E"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075F5E">
              <w:rPr>
                <w:b/>
              </w:rPr>
              <w:t>Santé de l’enfant</w:t>
            </w:r>
          </w:p>
          <w:p w14:paraId="702A3BA3" w14:textId="0079A9C1" w:rsidR="005A69A1" w:rsidRDefault="009D630C" w:rsidP="005A69A1">
            <w:pPr>
              <w:jc w:val="both"/>
              <w:cnfStyle w:val="000000100000" w:firstRow="0" w:lastRow="0" w:firstColumn="0" w:lastColumn="0" w:oddVBand="0" w:evenVBand="0" w:oddHBand="1" w:evenHBand="0" w:firstRowFirstColumn="0" w:firstRowLastColumn="0" w:lastRowFirstColumn="0" w:lastRowLastColumn="0"/>
            </w:pPr>
            <w:r>
              <w:t>Au Mali,</w:t>
            </w:r>
            <w:r w:rsidR="005A69A1">
              <w:t xml:space="preserve"> 17 % des enfants de moins de 5 ans ont souffert de diarrhée au cours des 2 dernières s</w:t>
            </w:r>
            <w:r w:rsidR="00C77EA9">
              <w:t xml:space="preserve">emaines avant l’enquête de 2018 et </w:t>
            </w:r>
            <w:r w:rsidR="005A69A1">
              <w:t>16 % des enfants de moins de 5 ans ont eu de la fièvre au cours des 2 semaines ayant précédé l’interview.</w:t>
            </w:r>
          </w:p>
          <w:p w14:paraId="1F3ED47A"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075F5E">
              <w:rPr>
                <w:b/>
              </w:rPr>
              <w:t>Nutrition des enfants</w:t>
            </w:r>
          </w:p>
          <w:p w14:paraId="486A1454"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rsidRPr="00075F5E">
              <w:rPr>
                <w:b/>
              </w:rPr>
              <w:t>État nutritionnel des enfants :</w:t>
            </w:r>
            <w:r>
              <w:t xml:space="preserve"> Trois enfants de moins de 5 ans sur dix (27 %) souffrent de malnutrition chronique ou retard de croissance, 9 % de malnutrition aigüe ou émaciation, 19 % présentent une insuffisance pondérale et 2 % un surpoids.</w:t>
            </w:r>
          </w:p>
          <w:p w14:paraId="289AA359" w14:textId="40FC3E43" w:rsidR="005A69A1" w:rsidRPr="00075F5E"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DF3E42">
              <w:rPr>
                <w:b/>
              </w:rPr>
              <w:t>Possession de MII :</w:t>
            </w:r>
            <w:r>
              <w:t xml:space="preserve"> Neuf ménages sur dix (90 %) disposent au </w:t>
            </w:r>
            <w:r w:rsidR="00C77EA9">
              <w:t>moins d’une MII</w:t>
            </w:r>
            <w:r>
              <w:t>.</w:t>
            </w:r>
          </w:p>
          <w:p w14:paraId="4F795616"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rsidRPr="00797EA0">
              <w:rPr>
                <w:b/>
              </w:rPr>
              <w:t xml:space="preserve">Prévalence du paludisme chez les enfants : </w:t>
            </w:r>
            <w:r>
              <w:t>Selon le Test de Diagnostic Rapide, la prévalence du paludisme parmi les enfants de 6-59 mois est de 19 %.</w:t>
            </w:r>
          </w:p>
          <w:p w14:paraId="7CE87224"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rPr>
                <w:b/>
              </w:rPr>
            </w:pPr>
            <w:r w:rsidRPr="00797EA0">
              <w:rPr>
                <w:b/>
              </w:rPr>
              <w:t>Violences basées sur le genre</w:t>
            </w:r>
          </w:p>
          <w:p w14:paraId="7C6FBB59" w14:textId="77777777" w:rsidR="005A69A1" w:rsidRDefault="005A69A1" w:rsidP="005A69A1">
            <w:pPr>
              <w:jc w:val="both"/>
              <w:cnfStyle w:val="000000100000" w:firstRow="0" w:lastRow="0" w:firstColumn="0" w:lastColumn="0" w:oddVBand="0" w:evenVBand="0" w:oddHBand="1" w:evenHBand="0" w:firstRowFirstColumn="0" w:firstRowLastColumn="0" w:lastRowFirstColumn="0" w:lastRowLastColumn="0"/>
            </w:pPr>
            <w:r>
              <w:t>Violence conjugale : La moitié des femmes (49 %) de 15-49 ans en union ou en rupture d’union ont subi à n’importe quel moment des actes de violence émotionnelle, physique et/ou sexuelle.</w:t>
            </w:r>
          </w:p>
          <w:p w14:paraId="57D027F0" w14:textId="27ED5AE5" w:rsidR="005A69A1" w:rsidRPr="005A69A1" w:rsidRDefault="005A69A1" w:rsidP="00C77EA9">
            <w:pPr>
              <w:jc w:val="both"/>
              <w:cnfStyle w:val="000000100000" w:firstRow="0" w:lastRow="0" w:firstColumn="0" w:lastColumn="0" w:oddVBand="0" w:evenVBand="0" w:oddHBand="1" w:evenHBand="0" w:firstRowFirstColumn="0" w:firstRowLastColumn="0" w:lastRowFirstColumn="0" w:lastRowLastColumn="0"/>
              <w:rPr>
                <w:b/>
              </w:rPr>
            </w:pPr>
            <w:r>
              <w:t xml:space="preserve">Le pourcentage de femmes de 15-49 ans ayant subi des violences physiques depuis l’âge de 15 ans est de 43 %. </w:t>
            </w:r>
          </w:p>
        </w:tc>
      </w:tr>
      <w:tr w:rsidR="00FC3E4E" w:rsidRPr="000D614F" w14:paraId="4E7EC51A" w14:textId="77777777" w:rsidTr="005A69A1">
        <w:trPr>
          <w:trHeight w:val="219"/>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21DB4D1" w14:textId="6B8C5585" w:rsidR="00FC3E4E" w:rsidRPr="000D614F" w:rsidRDefault="00FB2D76" w:rsidP="00B82C3E">
            <w:pPr>
              <w:rPr>
                <w:b w:val="0"/>
                <w:sz w:val="24"/>
                <w:szCs w:val="24"/>
              </w:rPr>
            </w:pPr>
            <w:r>
              <w:rPr>
                <w:b w:val="0"/>
                <w:sz w:val="24"/>
                <w:szCs w:val="24"/>
              </w:rPr>
              <w:lastRenderedPageBreak/>
              <w:t>6</w:t>
            </w:r>
          </w:p>
        </w:tc>
        <w:tc>
          <w:tcPr>
            <w:tcW w:w="1486" w:type="pct"/>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3278" w:type="pct"/>
            <w:vAlign w:val="center"/>
          </w:tcPr>
          <w:p w14:paraId="6062EF2F" w14:textId="1AA70A2D" w:rsidR="00FC3E4E" w:rsidRPr="000D614F" w:rsidRDefault="00FB2D76"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Les programmes de santé et de développement social.   </w:t>
            </w:r>
          </w:p>
        </w:tc>
      </w:tr>
      <w:tr w:rsidR="00FC3E4E" w:rsidRPr="000D614F" w14:paraId="229E8B8E" w14:textId="77777777" w:rsidTr="005A69A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1486" w:type="pct"/>
            <w:vAlign w:val="center"/>
          </w:tcPr>
          <w:p w14:paraId="1F19825C" w14:textId="5DEA195D"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Fréquence de production</w:t>
            </w:r>
            <w:r w:rsidR="003465DD" w:rsidRPr="000D614F">
              <w:rPr>
                <w:sz w:val="24"/>
                <w:szCs w:val="24"/>
              </w:rPr>
              <w:t>/Publication</w:t>
            </w:r>
          </w:p>
        </w:tc>
        <w:tc>
          <w:tcPr>
            <w:tcW w:w="3278" w:type="pct"/>
            <w:vAlign w:val="center"/>
          </w:tcPr>
          <w:p w14:paraId="30AAC6EF" w14:textId="6ADCCA5D" w:rsidR="00FC3E4E" w:rsidRPr="000D614F" w:rsidRDefault="00655B70" w:rsidP="00BA1F57">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Tous les 5 </w:t>
            </w:r>
            <w:r w:rsidR="00FB2D76">
              <w:rPr>
                <w:sz w:val="24"/>
                <w:szCs w:val="24"/>
              </w:rPr>
              <w:t>ans</w:t>
            </w:r>
          </w:p>
        </w:tc>
      </w:tr>
      <w:tr w:rsidR="00245BB8" w:rsidRPr="000D614F" w14:paraId="0AA46225" w14:textId="77777777" w:rsidTr="005A69A1">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1486" w:type="pct"/>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3278" w:type="pct"/>
            <w:vAlign w:val="center"/>
          </w:tcPr>
          <w:p w14:paraId="08424720" w14:textId="00243F20"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Caractéristiques sociodémographiques et économiques des membres du ménage</w:t>
            </w:r>
          </w:p>
          <w:p w14:paraId="5F721675" w14:textId="1FD6FBA8"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Caractéristiques du ménage</w:t>
            </w:r>
          </w:p>
          <w:p w14:paraId="0F562D4F" w14:textId="03070126"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Nuptialité, Activité sexuelle et Fécondité</w:t>
            </w:r>
          </w:p>
          <w:p w14:paraId="3EC3B4A5" w14:textId="76A8DB15"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Planification familiale</w:t>
            </w:r>
          </w:p>
          <w:p w14:paraId="46E9A83E" w14:textId="25D9141B"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Mortalité des enfants</w:t>
            </w:r>
          </w:p>
          <w:p w14:paraId="13E514F8" w14:textId="166D4964"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Santé maternelle</w:t>
            </w:r>
          </w:p>
          <w:p w14:paraId="79A53939" w14:textId="382410B7" w:rsidR="0084034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Santé de l’enfant</w:t>
            </w:r>
          </w:p>
          <w:p w14:paraId="649F6530" w14:textId="77777777" w:rsidR="00794B68" w:rsidRPr="00F631AB" w:rsidRDefault="0084034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Nutrition des enfants</w:t>
            </w:r>
          </w:p>
          <w:p w14:paraId="4D37DFF9" w14:textId="77777777" w:rsidR="00794B68" w:rsidRPr="00F631AB" w:rsidRDefault="00794B6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Excision</w:t>
            </w:r>
          </w:p>
          <w:p w14:paraId="0697DA75" w14:textId="4497989B" w:rsidR="00245BB8" w:rsidRPr="00F631AB" w:rsidRDefault="00794B68" w:rsidP="00F631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F631AB">
              <w:rPr>
                <w:sz w:val="24"/>
                <w:szCs w:val="24"/>
              </w:rPr>
              <w:t>Violences basées sur le genre</w:t>
            </w:r>
            <w:r w:rsidR="00840348" w:rsidRPr="00F631AB">
              <w:rPr>
                <w:sz w:val="24"/>
                <w:szCs w:val="24"/>
              </w:rPr>
              <w:t xml:space="preserve"> </w:t>
            </w:r>
          </w:p>
        </w:tc>
      </w:tr>
      <w:tr w:rsidR="00245BB8" w:rsidRPr="000D614F" w14:paraId="05881DFE" w14:textId="77777777" w:rsidTr="005A69A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5C7A10" w14:textId="2374E0FB" w:rsidR="00245BB8" w:rsidRPr="000D614F" w:rsidRDefault="00C77EA9" w:rsidP="00245BB8">
            <w:pPr>
              <w:rPr>
                <w:b w:val="0"/>
                <w:sz w:val="24"/>
                <w:szCs w:val="24"/>
              </w:rPr>
            </w:pPr>
            <w:r>
              <w:rPr>
                <w:b w:val="0"/>
                <w:sz w:val="24"/>
                <w:szCs w:val="24"/>
              </w:rPr>
              <w:t>9</w:t>
            </w:r>
          </w:p>
        </w:tc>
        <w:tc>
          <w:tcPr>
            <w:tcW w:w="1486" w:type="pct"/>
            <w:vAlign w:val="center"/>
          </w:tcPr>
          <w:p w14:paraId="71C3897B" w14:textId="0A97A25E" w:rsidR="00245BB8" w:rsidRPr="000D614F" w:rsidRDefault="00245BB8" w:rsidP="00324A96">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 xml:space="preserve">Niveau de désagrégation géographique </w:t>
            </w:r>
          </w:p>
        </w:tc>
        <w:tc>
          <w:tcPr>
            <w:tcW w:w="3278" w:type="pct"/>
            <w:vAlign w:val="center"/>
          </w:tcPr>
          <w:p w14:paraId="757E336F" w14:textId="78A16819" w:rsidR="00245BB8" w:rsidRPr="000D614F" w:rsidRDefault="00F61BA6" w:rsidP="008403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National, </w:t>
            </w:r>
            <w:bookmarkStart w:id="0" w:name="_GoBack"/>
            <w:bookmarkEnd w:id="0"/>
            <w:r w:rsidR="00794B68">
              <w:rPr>
                <w:sz w:val="24"/>
                <w:szCs w:val="24"/>
              </w:rPr>
              <w:t>Région, Milieu de résidence</w:t>
            </w:r>
          </w:p>
        </w:tc>
      </w:tr>
      <w:tr w:rsidR="00245BB8" w:rsidRPr="000D614F" w14:paraId="1BD021E5" w14:textId="77777777" w:rsidTr="005A69A1">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486" w:type="pct"/>
            <w:vAlign w:val="center"/>
          </w:tcPr>
          <w:p w14:paraId="665B00D2" w14:textId="1F4EAF7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Modalités d’accès</w:t>
            </w:r>
          </w:p>
        </w:tc>
        <w:tc>
          <w:tcPr>
            <w:tcW w:w="3278" w:type="pct"/>
            <w:vAlign w:val="center"/>
          </w:tcPr>
          <w:p w14:paraId="4C3B58F2" w14:textId="68990CD6" w:rsidR="00245BB8" w:rsidRPr="000D614F" w:rsidRDefault="00797EA0" w:rsidP="00797EA0">
            <w:pPr>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Rapport sur le site </w:t>
            </w:r>
            <w:hyperlink r:id="rId5" w:history="1">
              <w:r w:rsidR="00245BB8" w:rsidRPr="000D614F">
                <w:rPr>
                  <w:rStyle w:val="Lienhypertexte"/>
                  <w:sz w:val="24"/>
                  <w:szCs w:val="24"/>
                  <w:u w:val="none"/>
                </w:rPr>
                <w:t>www.instat-mali.org</w:t>
              </w:r>
            </w:hyperlink>
            <w:r w:rsidR="00FD43B7">
              <w:rPr>
                <w:rStyle w:val="Lienhypertexte"/>
                <w:sz w:val="24"/>
                <w:szCs w:val="24"/>
                <w:u w:val="none"/>
              </w:rPr>
              <w:t>/fr/publications</w:t>
            </w:r>
            <w:r>
              <w:rPr>
                <w:sz w:val="24"/>
                <w:szCs w:val="24"/>
              </w:rPr>
              <w:t xml:space="preserve"> ou </w:t>
            </w:r>
            <w:r w:rsidR="00245BB8" w:rsidRPr="000D614F">
              <w:rPr>
                <w:sz w:val="24"/>
                <w:szCs w:val="24"/>
              </w:rPr>
              <w:t>demande physique ou électronique à adresser au DG de l’INSTAT.</w:t>
            </w:r>
          </w:p>
        </w:tc>
      </w:tr>
      <w:tr w:rsidR="00245BB8" w:rsidRPr="000D614F" w14:paraId="101E485E" w14:textId="77777777" w:rsidTr="005A69A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1F345B5" w14:textId="0BF3B334" w:rsidR="00245BB8" w:rsidRPr="000D614F" w:rsidRDefault="00245BB8" w:rsidP="00245BB8">
            <w:pPr>
              <w:rPr>
                <w:b w:val="0"/>
                <w:color w:val="FF0000"/>
                <w:sz w:val="24"/>
                <w:szCs w:val="24"/>
              </w:rPr>
            </w:pPr>
            <w:r w:rsidRPr="000D614F">
              <w:rPr>
                <w:b w:val="0"/>
                <w:sz w:val="24"/>
                <w:szCs w:val="24"/>
              </w:rPr>
              <w:t>11</w:t>
            </w:r>
          </w:p>
        </w:tc>
        <w:tc>
          <w:tcPr>
            <w:tcW w:w="1486"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278" w:type="pct"/>
            <w:vAlign w:val="center"/>
          </w:tcPr>
          <w:p w14:paraId="52EAADE7" w14:textId="45D79403" w:rsidR="00245BB8" w:rsidRPr="000D614F" w:rsidRDefault="00245BB8" w:rsidP="00B12C9C">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w:t>
            </w:r>
            <w:r w:rsidR="00797EA0">
              <w:rPr>
                <w:sz w:val="24"/>
                <w:szCs w:val="24"/>
              </w:rPr>
              <w:t xml:space="preserve">rsion numérique </w:t>
            </w:r>
            <w:r w:rsidR="00B12C9C">
              <w:rPr>
                <w:sz w:val="24"/>
                <w:szCs w:val="24"/>
              </w:rPr>
              <w:t>en PDF</w:t>
            </w:r>
            <w:r w:rsidR="00797EA0">
              <w:rPr>
                <w:sz w:val="24"/>
                <w:szCs w:val="24"/>
              </w:rPr>
              <w:t xml:space="preserve"> et </w:t>
            </w:r>
            <w:r w:rsidR="00B12C9C">
              <w:rPr>
                <w:sz w:val="24"/>
                <w:szCs w:val="24"/>
              </w:rPr>
              <w:t xml:space="preserve">en version </w:t>
            </w:r>
            <w:r w:rsidR="00797EA0">
              <w:rPr>
                <w:sz w:val="24"/>
                <w:szCs w:val="24"/>
              </w:rPr>
              <w:t>papier</w:t>
            </w:r>
          </w:p>
        </w:tc>
      </w:tr>
      <w:tr w:rsidR="00245BB8" w:rsidRPr="000D614F" w14:paraId="3E76F1A0" w14:textId="77777777" w:rsidTr="005A69A1">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CB02A1" w14:textId="5A03B32F" w:rsidR="00245BB8" w:rsidRPr="000D614F" w:rsidRDefault="00245BB8" w:rsidP="00245BB8">
            <w:pPr>
              <w:rPr>
                <w:b w:val="0"/>
                <w:sz w:val="24"/>
                <w:szCs w:val="24"/>
              </w:rPr>
            </w:pPr>
            <w:r w:rsidRPr="000D614F">
              <w:rPr>
                <w:b w:val="0"/>
                <w:sz w:val="24"/>
                <w:szCs w:val="24"/>
              </w:rPr>
              <w:lastRenderedPageBreak/>
              <w:t>12</w:t>
            </w:r>
          </w:p>
        </w:tc>
        <w:tc>
          <w:tcPr>
            <w:tcW w:w="1486" w:type="pct"/>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278" w:type="pct"/>
            <w:vAlign w:val="center"/>
          </w:tcPr>
          <w:p w14:paraId="0C5F48C2" w14:textId="062BBB25" w:rsidR="00245BB8" w:rsidRPr="000D614F" w:rsidRDefault="007772EA"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L’insécurité qui rend difficile l’accès à certaines zones de collecte des données et les difficultés de mobilisation des ressources financières pour réaliser cette enquête.</w:t>
            </w:r>
          </w:p>
        </w:tc>
      </w:tr>
      <w:tr w:rsidR="00245BB8" w:rsidRPr="000D614F" w14:paraId="5678B7B9" w14:textId="77777777" w:rsidTr="005A69A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486" w:type="pct"/>
            <w:vAlign w:val="center"/>
          </w:tcPr>
          <w:p w14:paraId="1768CA19" w14:textId="08A8CBDC"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Perspectives</w:t>
            </w:r>
          </w:p>
        </w:tc>
        <w:tc>
          <w:tcPr>
            <w:tcW w:w="3278" w:type="pct"/>
            <w:vAlign w:val="center"/>
          </w:tcPr>
          <w:p w14:paraId="2A1DDB74" w14:textId="4AD31DC4" w:rsidR="00245BB8" w:rsidRPr="000D614F" w:rsidRDefault="00FD43B7" w:rsidP="00245BB8">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Valorisation des données de cette enquête avec les analyses approfondies. </w:t>
            </w:r>
          </w:p>
        </w:tc>
      </w:tr>
      <w:tr w:rsidR="00245BB8" w:rsidRPr="000D614F" w14:paraId="1004CCCA" w14:textId="77777777" w:rsidTr="005A69A1">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1486" w:type="pct"/>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3278" w:type="pct"/>
            <w:vAlign w:val="center"/>
          </w:tcPr>
          <w:p w14:paraId="2661C665" w14:textId="606FC268" w:rsidR="00245BB8" w:rsidRPr="000D614F" w:rsidRDefault="00FD43B7"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Inviter le monde universitaire à utiliser les données de cette enquête dans le cadre de leur recherche. </w:t>
            </w:r>
          </w:p>
        </w:tc>
      </w:tr>
      <w:tr w:rsidR="00245BB8" w:rsidRPr="000D614F" w14:paraId="77FF330D" w14:textId="77777777" w:rsidTr="005A69A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1486" w:type="pct"/>
            <w:vAlign w:val="center"/>
          </w:tcPr>
          <w:p w14:paraId="2B1CE310" w14:textId="78D42FA0"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Autres Remarques/observations</w:t>
            </w:r>
          </w:p>
        </w:tc>
        <w:tc>
          <w:tcPr>
            <w:tcW w:w="3278" w:type="pct"/>
            <w:vAlign w:val="center"/>
          </w:tcPr>
          <w:p w14:paraId="3C46823D" w14:textId="0C887BCF"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61243" w:rsidRPr="000D614F" w14:paraId="39D10889" w14:textId="77777777" w:rsidTr="005A69A1">
        <w:trPr>
          <w:trHeight w:val="45"/>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486" w:type="pct"/>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278" w:type="pct"/>
            <w:vAlign w:val="center"/>
          </w:tcPr>
          <w:p w14:paraId="41501F64" w14:textId="38C3B0D4" w:rsidR="00B61243" w:rsidRPr="000D614F" w:rsidRDefault="00B61243" w:rsidP="00B61243">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CD5982B" w14:textId="77777777" w:rsidR="00FC3E4E" w:rsidRDefault="00FC3E4E"/>
    <w:p w14:paraId="7FD33C69" w14:textId="09995E8E" w:rsidR="00551B0D" w:rsidRPr="000D614F" w:rsidRDefault="00551B0D" w:rsidP="000D614F">
      <w:pPr>
        <w:jc w:val="both"/>
        <w:rPr>
          <w:sz w:val="24"/>
          <w:szCs w:val="24"/>
        </w:rPr>
      </w:pPr>
      <w:r w:rsidRPr="000D614F">
        <w:rPr>
          <w:b/>
          <w:sz w:val="24"/>
          <w:szCs w:val="24"/>
          <w:u w:val="single"/>
        </w:rPr>
        <w:t>NB</w:t>
      </w:r>
      <w:r w:rsidR="000D160F" w:rsidRPr="000D614F">
        <w:rPr>
          <w:b/>
          <w:sz w:val="24"/>
          <w:szCs w:val="24"/>
          <w:u w:val="single"/>
        </w:rPr>
        <w:t>1</w:t>
      </w:r>
      <w:r w:rsidRPr="000D614F">
        <w:rPr>
          <w:b/>
          <w:sz w:val="24"/>
          <w:szCs w:val="24"/>
          <w:u w:val="single"/>
        </w:rPr>
        <w:t> :</w:t>
      </w:r>
      <w:r w:rsidRPr="000D614F">
        <w:rPr>
          <w:sz w:val="24"/>
          <w:szCs w:val="24"/>
        </w:rPr>
        <w:t xml:space="preserve"> pour les bases de données et sites web, il faut également disposer : les captures </w:t>
      </w:r>
      <w:r w:rsidR="000D160F" w:rsidRPr="000D614F">
        <w:rPr>
          <w:sz w:val="24"/>
          <w:szCs w:val="24"/>
        </w:rPr>
        <w:t xml:space="preserve">ou tutoriels </w:t>
      </w:r>
      <w:r w:rsidRPr="000D614F">
        <w:rPr>
          <w:sz w:val="24"/>
          <w:szCs w:val="24"/>
        </w:rPr>
        <w:t>pour mieux expliquer aux utilisateurs ; des vidéos</w:t>
      </w:r>
      <w:r w:rsidR="000D160F" w:rsidRPr="000D614F">
        <w:rPr>
          <w:sz w:val="24"/>
          <w:szCs w:val="24"/>
        </w:rPr>
        <w:t xml:space="preserve"> et des codes QR permettant d’accéder à la gamme de données. </w:t>
      </w:r>
    </w:p>
    <w:p w14:paraId="0596552A" w14:textId="7A88CAFC" w:rsidR="000D160F" w:rsidRPr="000D614F" w:rsidRDefault="000D160F" w:rsidP="000D614F">
      <w:pPr>
        <w:jc w:val="both"/>
        <w:rPr>
          <w:b/>
          <w:sz w:val="24"/>
          <w:szCs w:val="24"/>
          <w:u w:val="single"/>
        </w:rPr>
      </w:pPr>
      <w:r w:rsidRPr="000D614F">
        <w:rPr>
          <w:b/>
          <w:sz w:val="24"/>
          <w:szCs w:val="24"/>
          <w:u w:val="single"/>
        </w:rPr>
        <w:t xml:space="preserve">NB2 : </w:t>
      </w:r>
      <w:r w:rsidRPr="000D614F">
        <w:rPr>
          <w:sz w:val="24"/>
          <w:szCs w:val="24"/>
        </w:rPr>
        <w:t>Les présentateurs doivent tous à priori se référer à la maquette unifiée de diapositive de l’INSTAT.</w:t>
      </w:r>
      <w:r w:rsidRPr="000D614F">
        <w:rPr>
          <w:b/>
          <w:sz w:val="24"/>
          <w:szCs w:val="24"/>
          <w:u w:val="single"/>
        </w:rPr>
        <w:t xml:space="preserve"> </w:t>
      </w:r>
    </w:p>
    <w:p w14:paraId="634FE917" w14:textId="07950819" w:rsidR="00A935C5" w:rsidRPr="000D614F" w:rsidRDefault="00A935C5" w:rsidP="000D614F">
      <w:pPr>
        <w:jc w:val="both"/>
        <w:rPr>
          <w:sz w:val="24"/>
          <w:szCs w:val="24"/>
        </w:rPr>
      </w:pPr>
      <w:r w:rsidRPr="000D614F">
        <w:rPr>
          <w:sz w:val="24"/>
          <w:szCs w:val="24"/>
        </w:rPr>
        <w:t>Il faudra créer un encadré de rappel à la fin du canevas pour rappeler les éléments en NB : la maquette de présentation obligatoire (NB2) ; l’inclusion de supports pédagogiques et le responsable du service de communication de l’INSTAT à contacter.</w:t>
      </w:r>
    </w:p>
    <w:sectPr w:rsidR="00A935C5" w:rsidRPr="000D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AD6"/>
    <w:multiLevelType w:val="hybridMultilevel"/>
    <w:tmpl w:val="1F5452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C446E4"/>
    <w:multiLevelType w:val="hybridMultilevel"/>
    <w:tmpl w:val="B0EAB3A6"/>
    <w:lvl w:ilvl="0" w:tplc="6784D0F2">
      <w:start w:val="1"/>
      <w:numFmt w:val="bullet"/>
      <w:lvlText w:val=""/>
      <w:lvlJc w:val="left"/>
      <w:pPr>
        <w:tabs>
          <w:tab w:val="num" w:pos="720"/>
        </w:tabs>
        <w:ind w:left="720" w:hanging="360"/>
      </w:pPr>
      <w:rPr>
        <w:rFonts w:ascii="Wingdings" w:hAnsi="Wingdings" w:hint="default"/>
      </w:rPr>
    </w:lvl>
    <w:lvl w:ilvl="1" w:tplc="8576735A" w:tentative="1">
      <w:start w:val="1"/>
      <w:numFmt w:val="bullet"/>
      <w:lvlText w:val=""/>
      <w:lvlJc w:val="left"/>
      <w:pPr>
        <w:tabs>
          <w:tab w:val="num" w:pos="1440"/>
        </w:tabs>
        <w:ind w:left="1440" w:hanging="360"/>
      </w:pPr>
      <w:rPr>
        <w:rFonts w:ascii="Wingdings" w:hAnsi="Wingdings" w:hint="default"/>
      </w:rPr>
    </w:lvl>
    <w:lvl w:ilvl="2" w:tplc="AC0A9854">
      <w:start w:val="1"/>
      <w:numFmt w:val="bullet"/>
      <w:lvlText w:val=""/>
      <w:lvlJc w:val="left"/>
      <w:pPr>
        <w:tabs>
          <w:tab w:val="num" w:pos="2160"/>
        </w:tabs>
        <w:ind w:left="2160" w:hanging="360"/>
      </w:pPr>
      <w:rPr>
        <w:rFonts w:ascii="Wingdings" w:hAnsi="Wingdings" w:hint="default"/>
      </w:rPr>
    </w:lvl>
    <w:lvl w:ilvl="3" w:tplc="557A9ABE">
      <w:start w:val="1"/>
      <w:numFmt w:val="decimal"/>
      <w:lvlText w:val="%4."/>
      <w:lvlJc w:val="left"/>
      <w:pPr>
        <w:tabs>
          <w:tab w:val="num" w:pos="2880"/>
        </w:tabs>
        <w:ind w:left="2880" w:hanging="360"/>
      </w:pPr>
    </w:lvl>
    <w:lvl w:ilvl="4" w:tplc="1C02F144" w:tentative="1">
      <w:start w:val="1"/>
      <w:numFmt w:val="bullet"/>
      <w:lvlText w:val=""/>
      <w:lvlJc w:val="left"/>
      <w:pPr>
        <w:tabs>
          <w:tab w:val="num" w:pos="3600"/>
        </w:tabs>
        <w:ind w:left="3600" w:hanging="360"/>
      </w:pPr>
      <w:rPr>
        <w:rFonts w:ascii="Wingdings" w:hAnsi="Wingdings" w:hint="default"/>
      </w:rPr>
    </w:lvl>
    <w:lvl w:ilvl="5" w:tplc="4558D064" w:tentative="1">
      <w:start w:val="1"/>
      <w:numFmt w:val="bullet"/>
      <w:lvlText w:val=""/>
      <w:lvlJc w:val="left"/>
      <w:pPr>
        <w:tabs>
          <w:tab w:val="num" w:pos="4320"/>
        </w:tabs>
        <w:ind w:left="4320" w:hanging="360"/>
      </w:pPr>
      <w:rPr>
        <w:rFonts w:ascii="Wingdings" w:hAnsi="Wingdings" w:hint="default"/>
      </w:rPr>
    </w:lvl>
    <w:lvl w:ilvl="6" w:tplc="238071E2" w:tentative="1">
      <w:start w:val="1"/>
      <w:numFmt w:val="bullet"/>
      <w:lvlText w:val=""/>
      <w:lvlJc w:val="left"/>
      <w:pPr>
        <w:tabs>
          <w:tab w:val="num" w:pos="5040"/>
        </w:tabs>
        <w:ind w:left="5040" w:hanging="360"/>
      </w:pPr>
      <w:rPr>
        <w:rFonts w:ascii="Wingdings" w:hAnsi="Wingdings" w:hint="default"/>
      </w:rPr>
    </w:lvl>
    <w:lvl w:ilvl="7" w:tplc="5EF68C6A" w:tentative="1">
      <w:start w:val="1"/>
      <w:numFmt w:val="bullet"/>
      <w:lvlText w:val=""/>
      <w:lvlJc w:val="left"/>
      <w:pPr>
        <w:tabs>
          <w:tab w:val="num" w:pos="5760"/>
        </w:tabs>
        <w:ind w:left="5760" w:hanging="360"/>
      </w:pPr>
      <w:rPr>
        <w:rFonts w:ascii="Wingdings" w:hAnsi="Wingdings" w:hint="default"/>
      </w:rPr>
    </w:lvl>
    <w:lvl w:ilvl="8" w:tplc="4B36EE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05E2A"/>
    <w:multiLevelType w:val="hybridMultilevel"/>
    <w:tmpl w:val="5212D010"/>
    <w:lvl w:ilvl="0" w:tplc="A724B8AA">
      <w:start w:val="1"/>
      <w:numFmt w:val="decimal"/>
      <w:lvlText w:val="%1."/>
      <w:lvlJc w:val="left"/>
      <w:pPr>
        <w:tabs>
          <w:tab w:val="num" w:pos="720"/>
        </w:tabs>
        <w:ind w:left="720" w:hanging="360"/>
      </w:pPr>
    </w:lvl>
    <w:lvl w:ilvl="1" w:tplc="EAB0F094" w:tentative="1">
      <w:start w:val="1"/>
      <w:numFmt w:val="decimal"/>
      <w:lvlText w:val="%2."/>
      <w:lvlJc w:val="left"/>
      <w:pPr>
        <w:tabs>
          <w:tab w:val="num" w:pos="1440"/>
        </w:tabs>
        <w:ind w:left="1440" w:hanging="360"/>
      </w:pPr>
    </w:lvl>
    <w:lvl w:ilvl="2" w:tplc="260879C2" w:tentative="1">
      <w:start w:val="1"/>
      <w:numFmt w:val="decimal"/>
      <w:lvlText w:val="%3."/>
      <w:lvlJc w:val="left"/>
      <w:pPr>
        <w:tabs>
          <w:tab w:val="num" w:pos="2160"/>
        </w:tabs>
        <w:ind w:left="2160" w:hanging="360"/>
      </w:pPr>
    </w:lvl>
    <w:lvl w:ilvl="3" w:tplc="9ACCFC52" w:tentative="1">
      <w:start w:val="1"/>
      <w:numFmt w:val="decimal"/>
      <w:lvlText w:val="%4."/>
      <w:lvlJc w:val="left"/>
      <w:pPr>
        <w:tabs>
          <w:tab w:val="num" w:pos="2880"/>
        </w:tabs>
        <w:ind w:left="2880" w:hanging="360"/>
      </w:pPr>
    </w:lvl>
    <w:lvl w:ilvl="4" w:tplc="792CFF14" w:tentative="1">
      <w:start w:val="1"/>
      <w:numFmt w:val="decimal"/>
      <w:lvlText w:val="%5."/>
      <w:lvlJc w:val="left"/>
      <w:pPr>
        <w:tabs>
          <w:tab w:val="num" w:pos="3600"/>
        </w:tabs>
        <w:ind w:left="3600" w:hanging="360"/>
      </w:pPr>
    </w:lvl>
    <w:lvl w:ilvl="5" w:tplc="58321178" w:tentative="1">
      <w:start w:val="1"/>
      <w:numFmt w:val="decimal"/>
      <w:lvlText w:val="%6."/>
      <w:lvlJc w:val="left"/>
      <w:pPr>
        <w:tabs>
          <w:tab w:val="num" w:pos="4320"/>
        </w:tabs>
        <w:ind w:left="4320" w:hanging="360"/>
      </w:pPr>
    </w:lvl>
    <w:lvl w:ilvl="6" w:tplc="966C21EE" w:tentative="1">
      <w:start w:val="1"/>
      <w:numFmt w:val="decimal"/>
      <w:lvlText w:val="%7."/>
      <w:lvlJc w:val="left"/>
      <w:pPr>
        <w:tabs>
          <w:tab w:val="num" w:pos="5040"/>
        </w:tabs>
        <w:ind w:left="5040" w:hanging="360"/>
      </w:pPr>
    </w:lvl>
    <w:lvl w:ilvl="7" w:tplc="F4F85D52" w:tentative="1">
      <w:start w:val="1"/>
      <w:numFmt w:val="decimal"/>
      <w:lvlText w:val="%8."/>
      <w:lvlJc w:val="left"/>
      <w:pPr>
        <w:tabs>
          <w:tab w:val="num" w:pos="5760"/>
        </w:tabs>
        <w:ind w:left="5760" w:hanging="360"/>
      </w:pPr>
    </w:lvl>
    <w:lvl w:ilvl="8" w:tplc="8E0037CC" w:tentative="1">
      <w:start w:val="1"/>
      <w:numFmt w:val="decimal"/>
      <w:lvlText w:val="%9."/>
      <w:lvlJc w:val="left"/>
      <w:pPr>
        <w:tabs>
          <w:tab w:val="num" w:pos="6480"/>
        </w:tabs>
        <w:ind w:left="6480" w:hanging="360"/>
      </w:pPr>
    </w:lvl>
  </w:abstractNum>
  <w:abstractNum w:abstractNumId="3" w15:restartNumberingAfterBreak="0">
    <w:nsid w:val="659C53E7"/>
    <w:multiLevelType w:val="hybridMultilevel"/>
    <w:tmpl w:val="1FE2935A"/>
    <w:lvl w:ilvl="0" w:tplc="74CC42BA">
      <w:start w:val="1"/>
      <w:numFmt w:val="bullet"/>
      <w:lvlText w:val=""/>
      <w:lvlJc w:val="left"/>
      <w:pPr>
        <w:tabs>
          <w:tab w:val="num" w:pos="720"/>
        </w:tabs>
        <w:ind w:left="720" w:hanging="360"/>
      </w:pPr>
      <w:rPr>
        <w:rFonts w:ascii="Wingdings" w:hAnsi="Wingdings" w:hint="default"/>
      </w:rPr>
    </w:lvl>
    <w:lvl w:ilvl="1" w:tplc="5492F2A6" w:tentative="1">
      <w:start w:val="1"/>
      <w:numFmt w:val="bullet"/>
      <w:lvlText w:val=""/>
      <w:lvlJc w:val="left"/>
      <w:pPr>
        <w:tabs>
          <w:tab w:val="num" w:pos="1440"/>
        </w:tabs>
        <w:ind w:left="1440" w:hanging="360"/>
      </w:pPr>
      <w:rPr>
        <w:rFonts w:ascii="Wingdings" w:hAnsi="Wingdings" w:hint="default"/>
      </w:rPr>
    </w:lvl>
    <w:lvl w:ilvl="2" w:tplc="70EA2D74">
      <w:start w:val="1"/>
      <w:numFmt w:val="bullet"/>
      <w:lvlText w:val=""/>
      <w:lvlJc w:val="left"/>
      <w:pPr>
        <w:tabs>
          <w:tab w:val="num" w:pos="2160"/>
        </w:tabs>
        <w:ind w:left="2160" w:hanging="360"/>
      </w:pPr>
      <w:rPr>
        <w:rFonts w:ascii="Wingdings" w:hAnsi="Wingdings" w:hint="default"/>
      </w:rPr>
    </w:lvl>
    <w:lvl w:ilvl="3" w:tplc="14544E00" w:tentative="1">
      <w:start w:val="1"/>
      <w:numFmt w:val="bullet"/>
      <w:lvlText w:val=""/>
      <w:lvlJc w:val="left"/>
      <w:pPr>
        <w:tabs>
          <w:tab w:val="num" w:pos="2880"/>
        </w:tabs>
        <w:ind w:left="2880" w:hanging="360"/>
      </w:pPr>
      <w:rPr>
        <w:rFonts w:ascii="Wingdings" w:hAnsi="Wingdings" w:hint="default"/>
      </w:rPr>
    </w:lvl>
    <w:lvl w:ilvl="4" w:tplc="ABB4C212" w:tentative="1">
      <w:start w:val="1"/>
      <w:numFmt w:val="bullet"/>
      <w:lvlText w:val=""/>
      <w:lvlJc w:val="left"/>
      <w:pPr>
        <w:tabs>
          <w:tab w:val="num" w:pos="3600"/>
        </w:tabs>
        <w:ind w:left="3600" w:hanging="360"/>
      </w:pPr>
      <w:rPr>
        <w:rFonts w:ascii="Wingdings" w:hAnsi="Wingdings" w:hint="default"/>
      </w:rPr>
    </w:lvl>
    <w:lvl w:ilvl="5" w:tplc="E7DEEB50" w:tentative="1">
      <w:start w:val="1"/>
      <w:numFmt w:val="bullet"/>
      <w:lvlText w:val=""/>
      <w:lvlJc w:val="left"/>
      <w:pPr>
        <w:tabs>
          <w:tab w:val="num" w:pos="4320"/>
        </w:tabs>
        <w:ind w:left="4320" w:hanging="360"/>
      </w:pPr>
      <w:rPr>
        <w:rFonts w:ascii="Wingdings" w:hAnsi="Wingdings" w:hint="default"/>
      </w:rPr>
    </w:lvl>
    <w:lvl w:ilvl="6" w:tplc="F89410F2" w:tentative="1">
      <w:start w:val="1"/>
      <w:numFmt w:val="bullet"/>
      <w:lvlText w:val=""/>
      <w:lvlJc w:val="left"/>
      <w:pPr>
        <w:tabs>
          <w:tab w:val="num" w:pos="5040"/>
        </w:tabs>
        <w:ind w:left="5040" w:hanging="360"/>
      </w:pPr>
      <w:rPr>
        <w:rFonts w:ascii="Wingdings" w:hAnsi="Wingdings" w:hint="default"/>
      </w:rPr>
    </w:lvl>
    <w:lvl w:ilvl="7" w:tplc="91E44B94" w:tentative="1">
      <w:start w:val="1"/>
      <w:numFmt w:val="bullet"/>
      <w:lvlText w:val=""/>
      <w:lvlJc w:val="left"/>
      <w:pPr>
        <w:tabs>
          <w:tab w:val="num" w:pos="5760"/>
        </w:tabs>
        <w:ind w:left="5760" w:hanging="360"/>
      </w:pPr>
      <w:rPr>
        <w:rFonts w:ascii="Wingdings" w:hAnsi="Wingdings" w:hint="default"/>
      </w:rPr>
    </w:lvl>
    <w:lvl w:ilvl="8" w:tplc="E1B225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38306E"/>
    <w:multiLevelType w:val="hybridMultilevel"/>
    <w:tmpl w:val="7C04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4E"/>
    <w:rsid w:val="00003868"/>
    <w:rsid w:val="00034BC1"/>
    <w:rsid w:val="0005120D"/>
    <w:rsid w:val="00075F5E"/>
    <w:rsid w:val="000D160F"/>
    <w:rsid w:val="000D614F"/>
    <w:rsid w:val="00122497"/>
    <w:rsid w:val="00126660"/>
    <w:rsid w:val="00190FC9"/>
    <w:rsid w:val="001F0D48"/>
    <w:rsid w:val="00245BB8"/>
    <w:rsid w:val="002873F3"/>
    <w:rsid w:val="002A5D16"/>
    <w:rsid w:val="00310755"/>
    <w:rsid w:val="00324A96"/>
    <w:rsid w:val="003465DD"/>
    <w:rsid w:val="003609D4"/>
    <w:rsid w:val="00374E60"/>
    <w:rsid w:val="004346D2"/>
    <w:rsid w:val="00470CBB"/>
    <w:rsid w:val="004E314E"/>
    <w:rsid w:val="005049A4"/>
    <w:rsid w:val="0052760C"/>
    <w:rsid w:val="00551B0D"/>
    <w:rsid w:val="005576A3"/>
    <w:rsid w:val="005A69A1"/>
    <w:rsid w:val="00615B92"/>
    <w:rsid w:val="00632BF3"/>
    <w:rsid w:val="00655B70"/>
    <w:rsid w:val="00675D16"/>
    <w:rsid w:val="00682895"/>
    <w:rsid w:val="00692CBE"/>
    <w:rsid w:val="00720167"/>
    <w:rsid w:val="0075518C"/>
    <w:rsid w:val="007772EA"/>
    <w:rsid w:val="00794B68"/>
    <w:rsid w:val="00797EA0"/>
    <w:rsid w:val="007E5DCF"/>
    <w:rsid w:val="00810C2B"/>
    <w:rsid w:val="00840348"/>
    <w:rsid w:val="00944EF5"/>
    <w:rsid w:val="009B505A"/>
    <w:rsid w:val="009D630C"/>
    <w:rsid w:val="00A33ACD"/>
    <w:rsid w:val="00A63550"/>
    <w:rsid w:val="00A935C5"/>
    <w:rsid w:val="00B06DE7"/>
    <w:rsid w:val="00B12C9C"/>
    <w:rsid w:val="00B61243"/>
    <w:rsid w:val="00B82C3E"/>
    <w:rsid w:val="00BA1F57"/>
    <w:rsid w:val="00C07BB5"/>
    <w:rsid w:val="00C2324D"/>
    <w:rsid w:val="00C65397"/>
    <w:rsid w:val="00C77EA9"/>
    <w:rsid w:val="00CE117B"/>
    <w:rsid w:val="00CE34EA"/>
    <w:rsid w:val="00D03EE3"/>
    <w:rsid w:val="00D72000"/>
    <w:rsid w:val="00DB1C35"/>
    <w:rsid w:val="00DC3600"/>
    <w:rsid w:val="00DD6CF8"/>
    <w:rsid w:val="00DE0239"/>
    <w:rsid w:val="00DF3E42"/>
    <w:rsid w:val="00E04D7C"/>
    <w:rsid w:val="00E639AC"/>
    <w:rsid w:val="00E75DAD"/>
    <w:rsid w:val="00F21EBA"/>
    <w:rsid w:val="00F61BA6"/>
    <w:rsid w:val="00F631AB"/>
    <w:rsid w:val="00FB2D76"/>
    <w:rsid w:val="00FC3E4E"/>
    <w:rsid w:val="00FD1BC1"/>
    <w:rsid w:val="00FD43B7"/>
    <w:rsid w:val="00FE4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Emphase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1315">
      <w:bodyDiv w:val="1"/>
      <w:marLeft w:val="0"/>
      <w:marRight w:val="0"/>
      <w:marTop w:val="0"/>
      <w:marBottom w:val="0"/>
      <w:divBdr>
        <w:top w:val="none" w:sz="0" w:space="0" w:color="auto"/>
        <w:left w:val="none" w:sz="0" w:space="0" w:color="auto"/>
        <w:bottom w:val="none" w:sz="0" w:space="0" w:color="auto"/>
        <w:right w:val="none" w:sz="0" w:space="0" w:color="auto"/>
      </w:divBdr>
    </w:div>
    <w:div w:id="389038913">
      <w:bodyDiv w:val="1"/>
      <w:marLeft w:val="0"/>
      <w:marRight w:val="0"/>
      <w:marTop w:val="0"/>
      <w:marBottom w:val="0"/>
      <w:divBdr>
        <w:top w:val="none" w:sz="0" w:space="0" w:color="auto"/>
        <w:left w:val="none" w:sz="0" w:space="0" w:color="auto"/>
        <w:bottom w:val="none" w:sz="0" w:space="0" w:color="auto"/>
        <w:right w:val="none" w:sz="0" w:space="0" w:color="auto"/>
      </w:divBdr>
      <w:divsChild>
        <w:div w:id="656421598">
          <w:marLeft w:val="1080"/>
          <w:marRight w:val="0"/>
          <w:marTop w:val="80"/>
          <w:marBottom w:val="40"/>
          <w:divBdr>
            <w:top w:val="none" w:sz="0" w:space="0" w:color="auto"/>
            <w:left w:val="none" w:sz="0" w:space="0" w:color="auto"/>
            <w:bottom w:val="none" w:sz="0" w:space="0" w:color="auto"/>
            <w:right w:val="none" w:sz="0" w:space="0" w:color="auto"/>
          </w:divBdr>
        </w:div>
      </w:divsChild>
    </w:div>
    <w:div w:id="1093669522">
      <w:bodyDiv w:val="1"/>
      <w:marLeft w:val="0"/>
      <w:marRight w:val="0"/>
      <w:marTop w:val="0"/>
      <w:marBottom w:val="0"/>
      <w:divBdr>
        <w:top w:val="none" w:sz="0" w:space="0" w:color="auto"/>
        <w:left w:val="none" w:sz="0" w:space="0" w:color="auto"/>
        <w:bottom w:val="none" w:sz="0" w:space="0" w:color="auto"/>
        <w:right w:val="none" w:sz="0" w:space="0" w:color="auto"/>
      </w:divBdr>
      <w:divsChild>
        <w:div w:id="1194922424">
          <w:marLeft w:val="706"/>
          <w:marRight w:val="0"/>
          <w:marTop w:val="240"/>
          <w:marBottom w:val="120"/>
          <w:divBdr>
            <w:top w:val="none" w:sz="0" w:space="0" w:color="auto"/>
            <w:left w:val="none" w:sz="0" w:space="0" w:color="auto"/>
            <w:bottom w:val="none" w:sz="0" w:space="0" w:color="auto"/>
            <w:right w:val="none" w:sz="0" w:space="0" w:color="auto"/>
          </w:divBdr>
        </w:div>
      </w:divsChild>
    </w:div>
    <w:div w:id="1552423594">
      <w:bodyDiv w:val="1"/>
      <w:marLeft w:val="0"/>
      <w:marRight w:val="0"/>
      <w:marTop w:val="0"/>
      <w:marBottom w:val="0"/>
      <w:divBdr>
        <w:top w:val="none" w:sz="0" w:space="0" w:color="auto"/>
        <w:left w:val="none" w:sz="0" w:space="0" w:color="auto"/>
        <w:bottom w:val="none" w:sz="0" w:space="0" w:color="auto"/>
        <w:right w:val="none" w:sz="0" w:space="0" w:color="auto"/>
      </w:divBdr>
      <w:divsChild>
        <w:div w:id="1089232058">
          <w:marLeft w:val="1080"/>
          <w:marRight w:val="0"/>
          <w:marTop w:val="80"/>
          <w:marBottom w:val="40"/>
          <w:divBdr>
            <w:top w:val="none" w:sz="0" w:space="0" w:color="auto"/>
            <w:left w:val="none" w:sz="0" w:space="0" w:color="auto"/>
            <w:bottom w:val="none" w:sz="0" w:space="0" w:color="auto"/>
            <w:right w:val="none" w:sz="0" w:space="0" w:color="auto"/>
          </w:divBdr>
        </w:div>
      </w:divsChild>
    </w:div>
    <w:div w:id="2111705343">
      <w:bodyDiv w:val="1"/>
      <w:marLeft w:val="0"/>
      <w:marRight w:val="0"/>
      <w:marTop w:val="0"/>
      <w:marBottom w:val="0"/>
      <w:divBdr>
        <w:top w:val="none" w:sz="0" w:space="0" w:color="auto"/>
        <w:left w:val="none" w:sz="0" w:space="0" w:color="auto"/>
        <w:bottom w:val="none" w:sz="0" w:space="0" w:color="auto"/>
        <w:right w:val="none" w:sz="0" w:space="0" w:color="auto"/>
      </w:divBdr>
      <w:divsChild>
        <w:div w:id="750153827">
          <w:marLeft w:val="1080"/>
          <w:marRight w:val="0"/>
          <w:marTop w:val="80"/>
          <w:marBottom w:val="40"/>
          <w:divBdr>
            <w:top w:val="none" w:sz="0" w:space="0" w:color="auto"/>
            <w:left w:val="none" w:sz="0" w:space="0" w:color="auto"/>
            <w:bottom w:val="none" w:sz="0" w:space="0" w:color="auto"/>
            <w:right w:val="none" w:sz="0" w:space="0" w:color="auto"/>
          </w:divBdr>
        </w:div>
        <w:div w:id="1028533244">
          <w:marLeft w:val="1800"/>
          <w:marRight w:val="0"/>
          <w:marTop w:val="80"/>
          <w:marBottom w:val="40"/>
          <w:divBdr>
            <w:top w:val="none" w:sz="0" w:space="0" w:color="auto"/>
            <w:left w:val="none" w:sz="0" w:space="0" w:color="auto"/>
            <w:bottom w:val="none" w:sz="0" w:space="0" w:color="auto"/>
            <w:right w:val="none" w:sz="0" w:space="0" w:color="auto"/>
          </w:divBdr>
        </w:div>
        <w:div w:id="1126850954">
          <w:marLeft w:val="1800"/>
          <w:marRight w:val="0"/>
          <w:marTop w:val="80"/>
          <w:marBottom w:val="40"/>
          <w:divBdr>
            <w:top w:val="none" w:sz="0" w:space="0" w:color="auto"/>
            <w:left w:val="none" w:sz="0" w:space="0" w:color="auto"/>
            <w:bottom w:val="none" w:sz="0" w:space="0" w:color="auto"/>
            <w:right w:val="none" w:sz="0" w:space="0" w:color="auto"/>
          </w:divBdr>
        </w:div>
        <w:div w:id="40441411">
          <w:marLeft w:val="1800"/>
          <w:marRight w:val="0"/>
          <w:marTop w:val="80"/>
          <w:marBottom w:val="40"/>
          <w:divBdr>
            <w:top w:val="none" w:sz="0" w:space="0" w:color="auto"/>
            <w:left w:val="none" w:sz="0" w:space="0" w:color="auto"/>
            <w:bottom w:val="none" w:sz="0" w:space="0" w:color="auto"/>
            <w:right w:val="none" w:sz="0" w:space="0" w:color="auto"/>
          </w:divBdr>
        </w:div>
        <w:div w:id="687102775">
          <w:marLeft w:val="1800"/>
          <w:marRight w:val="0"/>
          <w:marTop w:val="80"/>
          <w:marBottom w:val="40"/>
          <w:divBdr>
            <w:top w:val="none" w:sz="0" w:space="0" w:color="auto"/>
            <w:left w:val="none" w:sz="0" w:space="0" w:color="auto"/>
            <w:bottom w:val="none" w:sz="0" w:space="0" w:color="auto"/>
            <w:right w:val="none" w:sz="0" w:space="0" w:color="auto"/>
          </w:divBdr>
        </w:div>
      </w:divsChild>
    </w:div>
    <w:div w:id="21139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Mr FANE</cp:lastModifiedBy>
  <cp:revision>2</cp:revision>
  <dcterms:created xsi:type="dcterms:W3CDTF">2025-07-04T08:54:00Z</dcterms:created>
  <dcterms:modified xsi:type="dcterms:W3CDTF">2025-07-04T08:54:00Z</dcterms:modified>
</cp:coreProperties>
</file>