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11F1E" w14:textId="0A8C0BFA" w:rsidR="0075518C" w:rsidRPr="00FC3E4E" w:rsidRDefault="00FC3E4E" w:rsidP="00E22622">
      <w:pPr>
        <w:jc w:val="center"/>
        <w:rPr>
          <w:b/>
          <w:bCs/>
          <w:sz w:val="26"/>
          <w:szCs w:val="26"/>
        </w:rPr>
      </w:pPr>
      <w:r w:rsidRPr="00FC3E4E">
        <w:rPr>
          <w:b/>
          <w:bCs/>
          <w:sz w:val="26"/>
          <w:szCs w:val="26"/>
        </w:rPr>
        <w:t>Présentation des principaux produits statistiques de l’INSTAT</w:t>
      </w:r>
    </w:p>
    <w:tbl>
      <w:tblPr>
        <w:tblStyle w:val="TableauGrille2-Accentuation11"/>
        <w:tblW w:w="53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2670"/>
        <w:gridCol w:w="6639"/>
      </w:tblGrid>
      <w:tr w:rsidR="00FC3E4E" w:rsidRPr="000D614F" w14:paraId="13965D81" w14:textId="77777777" w:rsidTr="00794B68">
        <w:trPr>
          <w:cnfStyle w:val="100000000000" w:firstRow="1" w:lastRow="0" w:firstColumn="0" w:lastColumn="0" w:oddVBand="0" w:evenVBand="0" w:oddHBand="0"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235" w:type="pct"/>
            <w:tcBorders>
              <w:top w:val="single" w:sz="4" w:space="0" w:color="auto"/>
              <w:bottom w:val="single" w:sz="4" w:space="0" w:color="auto"/>
              <w:right w:val="single" w:sz="4" w:space="0" w:color="auto"/>
            </w:tcBorders>
          </w:tcPr>
          <w:p w14:paraId="331FCD34" w14:textId="77777777" w:rsidR="00FC3E4E" w:rsidRPr="000D614F" w:rsidRDefault="00FC3E4E" w:rsidP="00043188">
            <w:pPr>
              <w:jc w:val="center"/>
              <w:rPr>
                <w:bCs w:val="0"/>
                <w:sz w:val="24"/>
                <w:szCs w:val="24"/>
              </w:rPr>
            </w:pPr>
            <w:r w:rsidRPr="000D614F">
              <w:rPr>
                <w:bCs w:val="0"/>
                <w:sz w:val="24"/>
                <w:szCs w:val="24"/>
              </w:rPr>
              <w:t>N°</w:t>
            </w:r>
          </w:p>
        </w:tc>
        <w:tc>
          <w:tcPr>
            <w:tcW w:w="4765" w:type="pct"/>
            <w:gridSpan w:val="2"/>
            <w:tcBorders>
              <w:top w:val="single" w:sz="4" w:space="0" w:color="auto"/>
              <w:left w:val="single" w:sz="4" w:space="0" w:color="auto"/>
              <w:bottom w:val="single" w:sz="4" w:space="0" w:color="auto"/>
            </w:tcBorders>
          </w:tcPr>
          <w:p w14:paraId="66101F87" w14:textId="14951837" w:rsidR="00FC3E4E" w:rsidRPr="000D614F" w:rsidRDefault="00FC3E4E" w:rsidP="00043188">
            <w:pPr>
              <w:jc w:val="center"/>
              <w:cnfStyle w:val="100000000000" w:firstRow="1" w:lastRow="0" w:firstColumn="0" w:lastColumn="0" w:oddVBand="0" w:evenVBand="0" w:oddHBand="0" w:evenHBand="0" w:firstRowFirstColumn="0" w:firstRowLastColumn="0" w:lastRowFirstColumn="0" w:lastRowLastColumn="0"/>
              <w:rPr>
                <w:bCs w:val="0"/>
                <w:sz w:val="24"/>
                <w:szCs w:val="24"/>
              </w:rPr>
            </w:pPr>
            <w:r w:rsidRPr="000D614F">
              <w:rPr>
                <w:bCs w:val="0"/>
                <w:sz w:val="24"/>
                <w:szCs w:val="24"/>
              </w:rPr>
              <w:t>Canevas de présentation des principaux produits statistiques de l’INSTAT</w:t>
            </w:r>
          </w:p>
        </w:tc>
      </w:tr>
      <w:tr w:rsidR="00FC3E4E" w:rsidRPr="000D614F" w14:paraId="29CD14E2" w14:textId="77777777" w:rsidTr="00276C23">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235" w:type="pct"/>
            <w:tcBorders>
              <w:top w:val="single" w:sz="4" w:space="0" w:color="auto"/>
            </w:tcBorders>
            <w:vAlign w:val="center"/>
          </w:tcPr>
          <w:p w14:paraId="0A8DE114" w14:textId="77777777" w:rsidR="00FC3E4E" w:rsidRPr="000D614F" w:rsidRDefault="00FC3E4E" w:rsidP="00B82C3E">
            <w:pPr>
              <w:rPr>
                <w:b w:val="0"/>
                <w:sz w:val="24"/>
                <w:szCs w:val="24"/>
              </w:rPr>
            </w:pPr>
            <w:r w:rsidRPr="000D614F">
              <w:rPr>
                <w:b w:val="0"/>
                <w:sz w:val="24"/>
                <w:szCs w:val="24"/>
              </w:rPr>
              <w:t>1</w:t>
            </w:r>
          </w:p>
        </w:tc>
        <w:tc>
          <w:tcPr>
            <w:tcW w:w="923" w:type="pct"/>
            <w:tcBorders>
              <w:top w:val="single" w:sz="4" w:space="0" w:color="auto"/>
            </w:tcBorders>
          </w:tcPr>
          <w:p w14:paraId="00006D20" w14:textId="6160E12C" w:rsidR="00FC3E4E" w:rsidRPr="000D614F" w:rsidRDefault="00FC3E4E" w:rsidP="00043188">
            <w:pPr>
              <w:cnfStyle w:val="000000100000" w:firstRow="0" w:lastRow="0" w:firstColumn="0" w:lastColumn="0" w:oddVBand="0" w:evenVBand="0" w:oddHBand="1" w:evenHBand="0" w:firstRowFirstColumn="0" w:firstRowLastColumn="0" w:lastRowFirstColumn="0" w:lastRowLastColumn="0"/>
              <w:rPr>
                <w:sz w:val="24"/>
                <w:szCs w:val="24"/>
              </w:rPr>
            </w:pPr>
            <w:r w:rsidRPr="000D614F">
              <w:rPr>
                <w:sz w:val="24"/>
                <w:szCs w:val="24"/>
              </w:rPr>
              <w:t>Nom du Département et missions</w:t>
            </w:r>
          </w:p>
        </w:tc>
        <w:tc>
          <w:tcPr>
            <w:tcW w:w="3842" w:type="pct"/>
            <w:tcBorders>
              <w:top w:val="single" w:sz="4" w:space="0" w:color="auto"/>
            </w:tcBorders>
            <w:vAlign w:val="center"/>
          </w:tcPr>
          <w:p w14:paraId="05ECA120" w14:textId="0EE141D5" w:rsidR="00FC3E4E" w:rsidRDefault="007E5DCF" w:rsidP="00BA1F57">
            <w:pPr>
              <w:jc w:val="both"/>
              <w:cnfStyle w:val="000000100000" w:firstRow="0" w:lastRow="0" w:firstColumn="0" w:lastColumn="0" w:oddVBand="0" w:evenVBand="0" w:oddHBand="1" w:evenHBand="0" w:firstRowFirstColumn="0" w:firstRowLastColumn="0" w:lastRowFirstColumn="0" w:lastRowLastColumn="0"/>
              <w:rPr>
                <w:b/>
                <w:bCs/>
                <w:sz w:val="24"/>
                <w:szCs w:val="24"/>
              </w:rPr>
            </w:pPr>
            <w:r>
              <w:rPr>
                <w:b/>
                <w:bCs/>
                <w:sz w:val="24"/>
                <w:szCs w:val="24"/>
              </w:rPr>
              <w:t>Département de la Recherche, de la Normalisation et des Enquêtes Statistiques (DNRE).</w:t>
            </w:r>
          </w:p>
          <w:p w14:paraId="2B670239" w14:textId="72CA0287" w:rsidR="007E5DCF" w:rsidRPr="004E4DA0" w:rsidRDefault="004E4DA0" w:rsidP="004E4DA0">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Le département est chargé de : (i) promouvoir le développement des sciences statistiques et de la recherche économique appliquée relevant du domaine de compétence de l’INSTAT en relation avec les institutions de recherche et les Universités ; (ii) veiller à la mise en application des méthodes, concepts, définitions, normes, classifications et nomenclatures approuvés par le Comité scientifique, (iii) élaborer les méthodes et concepts, (iv) définir les normes, classifications, nomenclatures et autres outils de collecte et d’exploitation des enquêtes statistiques et (v) participer à la conception et à la réalisation des opérations de collecte pour toutes enquêtes statistiques d’envergure nationale.</w:t>
            </w:r>
          </w:p>
        </w:tc>
      </w:tr>
      <w:tr w:rsidR="00FC3E4E" w:rsidRPr="000D614F" w14:paraId="0761B1B5" w14:textId="77777777" w:rsidTr="00276C23">
        <w:trPr>
          <w:trHeight w:val="50"/>
        </w:trPr>
        <w:tc>
          <w:tcPr>
            <w:cnfStyle w:val="001000000000" w:firstRow="0" w:lastRow="0" w:firstColumn="1" w:lastColumn="0" w:oddVBand="0" w:evenVBand="0" w:oddHBand="0" w:evenHBand="0" w:firstRowFirstColumn="0" w:firstRowLastColumn="0" w:lastRowFirstColumn="0" w:lastRowLastColumn="0"/>
            <w:tcW w:w="235" w:type="pct"/>
            <w:vAlign w:val="center"/>
          </w:tcPr>
          <w:p w14:paraId="3BA6F100" w14:textId="77777777" w:rsidR="00FC3E4E" w:rsidRPr="000D614F" w:rsidRDefault="00FC3E4E" w:rsidP="00B82C3E">
            <w:pPr>
              <w:rPr>
                <w:b w:val="0"/>
                <w:sz w:val="24"/>
                <w:szCs w:val="24"/>
              </w:rPr>
            </w:pPr>
            <w:r w:rsidRPr="000D614F">
              <w:rPr>
                <w:b w:val="0"/>
                <w:sz w:val="24"/>
                <w:szCs w:val="24"/>
              </w:rPr>
              <w:t>2</w:t>
            </w:r>
          </w:p>
        </w:tc>
        <w:tc>
          <w:tcPr>
            <w:tcW w:w="923" w:type="pct"/>
            <w:vAlign w:val="center"/>
          </w:tcPr>
          <w:p w14:paraId="0E78711C" w14:textId="43C6D27A" w:rsidR="00FC3E4E" w:rsidRPr="000D614F" w:rsidRDefault="003465DD" w:rsidP="00190FC9">
            <w:pPr>
              <w:cnfStyle w:val="000000000000" w:firstRow="0" w:lastRow="0" w:firstColumn="0" w:lastColumn="0" w:oddVBand="0" w:evenVBand="0" w:oddHBand="0" w:evenHBand="0" w:firstRowFirstColumn="0" w:firstRowLastColumn="0" w:lastRowFirstColumn="0" w:lastRowLastColumn="0"/>
              <w:rPr>
                <w:bCs/>
                <w:sz w:val="24"/>
                <w:szCs w:val="24"/>
              </w:rPr>
            </w:pPr>
            <w:r w:rsidRPr="000D614F">
              <w:rPr>
                <w:bCs/>
                <w:sz w:val="24"/>
                <w:szCs w:val="24"/>
              </w:rPr>
              <w:t xml:space="preserve">Nom du </w:t>
            </w:r>
            <w:r w:rsidR="00FC3E4E" w:rsidRPr="000D614F">
              <w:rPr>
                <w:bCs/>
                <w:sz w:val="24"/>
                <w:szCs w:val="24"/>
              </w:rPr>
              <w:t>Produit statistique</w:t>
            </w:r>
            <w:r w:rsidR="00190FC9" w:rsidRPr="000D614F">
              <w:rPr>
                <w:bCs/>
                <w:sz w:val="24"/>
                <w:szCs w:val="24"/>
              </w:rPr>
              <w:t xml:space="preserve"> </w:t>
            </w:r>
          </w:p>
        </w:tc>
        <w:tc>
          <w:tcPr>
            <w:tcW w:w="3842" w:type="pct"/>
            <w:vAlign w:val="center"/>
          </w:tcPr>
          <w:p w14:paraId="3D97E60F" w14:textId="0FD95337" w:rsidR="00FC3E4E" w:rsidRPr="00690C08" w:rsidRDefault="00690C08" w:rsidP="00BA1F57">
            <w:pPr>
              <w:jc w:val="both"/>
              <w:cnfStyle w:val="000000000000" w:firstRow="0" w:lastRow="0" w:firstColumn="0" w:lastColumn="0" w:oddVBand="0" w:evenVBand="0" w:oddHBand="0" w:evenHBand="0" w:firstRowFirstColumn="0" w:firstRowLastColumn="0" w:lastRowFirstColumn="0" w:lastRowLastColumn="0"/>
              <w:rPr>
                <w:sz w:val="24"/>
                <w:szCs w:val="24"/>
              </w:rPr>
            </w:pPr>
            <w:r w:rsidRPr="00690C08">
              <w:rPr>
                <w:sz w:val="24"/>
                <w:szCs w:val="24"/>
              </w:rPr>
              <w:t>Enquête Régionale Intégrée sur l’Emploi et le Secteur Informel (ERI-ESI) au Mali</w:t>
            </w:r>
          </w:p>
        </w:tc>
      </w:tr>
      <w:tr w:rsidR="00FC3E4E" w:rsidRPr="000D614F" w14:paraId="08F19868" w14:textId="77777777" w:rsidTr="00276C23">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235" w:type="pct"/>
            <w:vAlign w:val="center"/>
          </w:tcPr>
          <w:p w14:paraId="49EB2194" w14:textId="77777777" w:rsidR="00FC3E4E" w:rsidRPr="000D614F" w:rsidRDefault="00FC3E4E" w:rsidP="00B82C3E">
            <w:pPr>
              <w:rPr>
                <w:b w:val="0"/>
                <w:sz w:val="24"/>
                <w:szCs w:val="24"/>
              </w:rPr>
            </w:pPr>
            <w:r w:rsidRPr="000D614F">
              <w:rPr>
                <w:b w:val="0"/>
                <w:sz w:val="24"/>
                <w:szCs w:val="24"/>
              </w:rPr>
              <w:t>3</w:t>
            </w:r>
          </w:p>
        </w:tc>
        <w:tc>
          <w:tcPr>
            <w:tcW w:w="923" w:type="pct"/>
            <w:vAlign w:val="center"/>
          </w:tcPr>
          <w:p w14:paraId="5C7406C7" w14:textId="41D57B1A" w:rsidR="00FC3E4E" w:rsidRPr="000D614F" w:rsidRDefault="003465DD" w:rsidP="00BA1F57">
            <w:pPr>
              <w:jc w:val="both"/>
              <w:cnfStyle w:val="000000100000" w:firstRow="0" w:lastRow="0" w:firstColumn="0" w:lastColumn="0" w:oddVBand="0" w:evenVBand="0" w:oddHBand="1" w:evenHBand="0" w:firstRowFirstColumn="0" w:firstRowLastColumn="0" w:lastRowFirstColumn="0" w:lastRowLastColumn="0"/>
              <w:rPr>
                <w:bCs/>
                <w:sz w:val="24"/>
                <w:szCs w:val="24"/>
              </w:rPr>
            </w:pPr>
            <w:r w:rsidRPr="000D614F">
              <w:rPr>
                <w:bCs/>
                <w:sz w:val="24"/>
                <w:szCs w:val="24"/>
              </w:rPr>
              <w:t xml:space="preserve">Objectifs du produit et </w:t>
            </w:r>
            <w:r w:rsidR="00DC3600" w:rsidRPr="000D614F">
              <w:rPr>
                <w:bCs/>
                <w:sz w:val="24"/>
                <w:szCs w:val="24"/>
              </w:rPr>
              <w:t>son h</w:t>
            </w:r>
            <w:r w:rsidR="00FC3E4E" w:rsidRPr="000D614F">
              <w:rPr>
                <w:bCs/>
                <w:sz w:val="24"/>
                <w:szCs w:val="24"/>
              </w:rPr>
              <w:t xml:space="preserve">istorique </w:t>
            </w:r>
          </w:p>
        </w:tc>
        <w:tc>
          <w:tcPr>
            <w:tcW w:w="3842" w:type="pct"/>
            <w:vAlign w:val="center"/>
          </w:tcPr>
          <w:p w14:paraId="49FCD014" w14:textId="035969E5" w:rsidR="000F0DAE" w:rsidRDefault="00690C08" w:rsidP="000F0DAE">
            <w:pPr>
              <w:jc w:val="both"/>
              <w:cnfStyle w:val="000000100000" w:firstRow="0" w:lastRow="0" w:firstColumn="0" w:lastColumn="0" w:oddVBand="0" w:evenVBand="0" w:oddHBand="1" w:evenHBand="0" w:firstRowFirstColumn="0" w:firstRowLastColumn="0" w:lastRowFirstColumn="0" w:lastRowLastColumn="0"/>
              <w:rPr>
                <w:sz w:val="24"/>
                <w:szCs w:val="24"/>
              </w:rPr>
            </w:pPr>
            <w:r w:rsidRPr="00690C08">
              <w:rPr>
                <w:sz w:val="24"/>
                <w:szCs w:val="24"/>
              </w:rPr>
              <w:t>L’Enquête Régionale Intégrée sur l’Emploi et le Secteur Informel (ERI-ESI) est une opération statistique d’envergure nationale. Cette enquête comporte deux volets, un volet emploi et un volet secteur informel. Le volet emploi est relatif à la collecte et l’analyse des données sur les caractéristiques socio démographiques et à l’emploi de la population. Le second volet est relatif à la collecte et l’analyse des données auprès des unités de production informelles non agricoles identifiées lors du volet emploi. Le champ social peut néanmoins être élargi aux activités de la pêche artisanale ou du maraîchage</w:t>
            </w:r>
            <w:r w:rsidR="000F0DAE">
              <w:rPr>
                <w:sz w:val="24"/>
                <w:szCs w:val="24"/>
              </w:rPr>
              <w:t>.</w:t>
            </w:r>
          </w:p>
          <w:p w14:paraId="6A34DC3A" w14:textId="497DC1C6" w:rsidR="006D5E9B" w:rsidRPr="000D614F" w:rsidRDefault="00690C08" w:rsidP="000F0DAE">
            <w:pPr>
              <w:jc w:val="both"/>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Une seule édition de cette enquête</w:t>
            </w:r>
            <w:r w:rsidR="000F0DAE">
              <w:rPr>
                <w:sz w:val="24"/>
                <w:szCs w:val="24"/>
              </w:rPr>
              <w:t xml:space="preserve"> : </w:t>
            </w:r>
            <w:r>
              <w:rPr>
                <w:sz w:val="24"/>
                <w:szCs w:val="24"/>
              </w:rPr>
              <w:t>ERI-ESI 2017</w:t>
            </w:r>
          </w:p>
        </w:tc>
      </w:tr>
      <w:tr w:rsidR="00FC3E4E" w:rsidRPr="000D614F" w14:paraId="5E29D9C3" w14:textId="77777777" w:rsidTr="00276C23">
        <w:trPr>
          <w:trHeight w:val="50"/>
        </w:trPr>
        <w:tc>
          <w:tcPr>
            <w:cnfStyle w:val="001000000000" w:firstRow="0" w:lastRow="0" w:firstColumn="1" w:lastColumn="0" w:oddVBand="0" w:evenVBand="0" w:oddHBand="0" w:evenHBand="0" w:firstRowFirstColumn="0" w:firstRowLastColumn="0" w:lastRowFirstColumn="0" w:lastRowLastColumn="0"/>
            <w:tcW w:w="235" w:type="pct"/>
            <w:vAlign w:val="center"/>
          </w:tcPr>
          <w:p w14:paraId="37708082" w14:textId="77777777" w:rsidR="00FC3E4E" w:rsidRPr="000D614F" w:rsidRDefault="00FC3E4E" w:rsidP="00B82C3E">
            <w:pPr>
              <w:rPr>
                <w:b w:val="0"/>
                <w:bCs w:val="0"/>
                <w:sz w:val="24"/>
                <w:szCs w:val="24"/>
              </w:rPr>
            </w:pPr>
            <w:r w:rsidRPr="000D614F">
              <w:rPr>
                <w:b w:val="0"/>
                <w:bCs w:val="0"/>
                <w:sz w:val="24"/>
                <w:szCs w:val="24"/>
              </w:rPr>
              <w:t>4</w:t>
            </w:r>
          </w:p>
        </w:tc>
        <w:tc>
          <w:tcPr>
            <w:tcW w:w="923" w:type="pct"/>
            <w:vAlign w:val="center"/>
          </w:tcPr>
          <w:p w14:paraId="5815A0C9" w14:textId="4E2BB94F" w:rsidR="00FC3E4E" w:rsidRPr="000D614F" w:rsidRDefault="00FC3E4E" w:rsidP="00BA1F57">
            <w:pPr>
              <w:jc w:val="both"/>
              <w:cnfStyle w:val="000000000000" w:firstRow="0" w:lastRow="0" w:firstColumn="0" w:lastColumn="0" w:oddVBand="0" w:evenVBand="0" w:oddHBand="0" w:evenHBand="0" w:firstRowFirstColumn="0" w:firstRowLastColumn="0" w:lastRowFirstColumn="0" w:lastRowLastColumn="0"/>
              <w:rPr>
                <w:bCs/>
                <w:sz w:val="24"/>
                <w:szCs w:val="24"/>
              </w:rPr>
            </w:pPr>
            <w:r w:rsidRPr="000D614F">
              <w:rPr>
                <w:bCs/>
                <w:sz w:val="24"/>
                <w:szCs w:val="24"/>
              </w:rPr>
              <w:t>Méthodologie</w:t>
            </w:r>
            <w:r w:rsidR="00B82C3E" w:rsidRPr="000D614F">
              <w:rPr>
                <w:bCs/>
                <w:sz w:val="24"/>
                <w:szCs w:val="24"/>
              </w:rPr>
              <w:t xml:space="preserve"> utilisée </w:t>
            </w:r>
            <w:r w:rsidR="00B82C3E" w:rsidRPr="00B61243">
              <w:rPr>
                <w:bCs/>
                <w:sz w:val="24"/>
                <w:szCs w:val="24"/>
                <w:u w:val="single"/>
              </w:rPr>
              <w:t>ou aperçu sur l’interface s’il s’agit d’une base de données ou site web</w:t>
            </w:r>
          </w:p>
        </w:tc>
        <w:tc>
          <w:tcPr>
            <w:tcW w:w="3842" w:type="pct"/>
            <w:vAlign w:val="center"/>
          </w:tcPr>
          <w:p w14:paraId="19D04E88" w14:textId="5DEB9545" w:rsidR="006829F9" w:rsidRDefault="00720167" w:rsidP="00720167">
            <w:pPr>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E</w:t>
            </w:r>
            <w:r w:rsidR="00FD43B7" w:rsidRPr="00720167">
              <w:rPr>
                <w:sz w:val="24"/>
                <w:szCs w:val="24"/>
              </w:rPr>
              <w:t xml:space="preserve">nquête par </w:t>
            </w:r>
            <w:r>
              <w:rPr>
                <w:sz w:val="24"/>
                <w:szCs w:val="24"/>
              </w:rPr>
              <w:t xml:space="preserve">sondage, </w:t>
            </w:r>
            <w:r w:rsidR="00FD43B7" w:rsidRPr="00720167">
              <w:rPr>
                <w:sz w:val="24"/>
                <w:szCs w:val="24"/>
              </w:rPr>
              <w:t xml:space="preserve">aréolaire </w:t>
            </w:r>
            <w:r>
              <w:rPr>
                <w:sz w:val="24"/>
                <w:szCs w:val="24"/>
              </w:rPr>
              <w:t xml:space="preserve">et </w:t>
            </w:r>
            <w:r w:rsidR="00FD43B7" w:rsidRPr="00720167">
              <w:rPr>
                <w:sz w:val="24"/>
                <w:szCs w:val="24"/>
              </w:rPr>
              <w:t>stratifié à deux degrés</w:t>
            </w:r>
            <w:r>
              <w:rPr>
                <w:sz w:val="24"/>
                <w:szCs w:val="24"/>
              </w:rPr>
              <w:t xml:space="preserve">. </w:t>
            </w:r>
          </w:p>
          <w:p w14:paraId="48360EC9" w14:textId="7A4DBAD5" w:rsidR="00720167" w:rsidRDefault="00720167" w:rsidP="00720167">
            <w:pPr>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Au premier degré, un échantillon d’unité primaires de sondage</w:t>
            </w:r>
            <w:r w:rsidR="00C86086">
              <w:rPr>
                <w:sz w:val="24"/>
                <w:szCs w:val="24"/>
              </w:rPr>
              <w:t> </w:t>
            </w:r>
            <w:r>
              <w:rPr>
                <w:sz w:val="24"/>
                <w:szCs w:val="24"/>
              </w:rPr>
              <w:t xml:space="preserve">(UPS) ou grappes est tiré systématiquement avec une probabilité proportionnelle à leur taille en ménage à partir de la liste des sections d’énumération établie au cours du RGPH le plus récent. </w:t>
            </w:r>
          </w:p>
          <w:p w14:paraId="68F1CB67" w14:textId="6752CB26" w:rsidR="00E75DAD" w:rsidRDefault="00E75DAD" w:rsidP="00BA1F57">
            <w:pPr>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Au second degré, on procède à un tirage systématique à probabilité égale d’un nombre fixe de ménages dans chaque SE/grappe.</w:t>
            </w:r>
          </w:p>
          <w:p w14:paraId="36A435A3" w14:textId="77777777" w:rsidR="00506CF6" w:rsidRDefault="00FD43B7" w:rsidP="00506CF6">
            <w:pPr>
              <w:jc w:val="both"/>
              <w:cnfStyle w:val="000000000000" w:firstRow="0" w:lastRow="0" w:firstColumn="0" w:lastColumn="0" w:oddVBand="0" w:evenVBand="0" w:oddHBand="0" w:evenHBand="0" w:firstRowFirstColumn="0" w:firstRowLastColumn="0" w:lastRowFirstColumn="0" w:lastRowLastColumn="0"/>
              <w:rPr>
                <w:sz w:val="24"/>
                <w:szCs w:val="24"/>
              </w:rPr>
            </w:pPr>
            <w:r w:rsidRPr="00E75DAD">
              <w:rPr>
                <w:b/>
                <w:bCs/>
                <w:sz w:val="24"/>
                <w:szCs w:val="24"/>
              </w:rPr>
              <w:t xml:space="preserve">Outils de collecte : </w:t>
            </w:r>
          </w:p>
          <w:p w14:paraId="518BE961" w14:textId="77777777" w:rsidR="005946BC" w:rsidRDefault="00FD43B7" w:rsidP="005946BC">
            <w:pPr>
              <w:pStyle w:val="Paragraphedeliste"/>
              <w:numPr>
                <w:ilvl w:val="0"/>
                <w:numId w:val="7"/>
              </w:numPr>
              <w:jc w:val="both"/>
              <w:cnfStyle w:val="000000000000" w:firstRow="0" w:lastRow="0" w:firstColumn="0" w:lastColumn="0" w:oddVBand="0" w:evenVBand="0" w:oddHBand="0" w:evenHBand="0" w:firstRowFirstColumn="0" w:firstRowLastColumn="0" w:lastRowFirstColumn="0" w:lastRowLastColumn="0"/>
              <w:rPr>
                <w:sz w:val="24"/>
                <w:szCs w:val="24"/>
              </w:rPr>
            </w:pPr>
            <w:r w:rsidRPr="00DB0142">
              <w:rPr>
                <w:sz w:val="24"/>
                <w:szCs w:val="24"/>
              </w:rPr>
              <w:t>Q</w:t>
            </w:r>
            <w:r w:rsidR="005946BC" w:rsidRPr="005946BC">
              <w:rPr>
                <w:sz w:val="24"/>
                <w:szCs w:val="24"/>
              </w:rPr>
              <w:t>uestionnaire ménage qui a servi à recueillir des informations sur tous les membres du ménage, le ménage et l’habitation ;</w:t>
            </w:r>
          </w:p>
          <w:p w14:paraId="63860B1B" w14:textId="77777777" w:rsidR="005946BC" w:rsidRPr="005946BC" w:rsidRDefault="005946BC" w:rsidP="005946BC">
            <w:pPr>
              <w:pStyle w:val="Paragraphedeliste"/>
              <w:numPr>
                <w:ilvl w:val="0"/>
                <w:numId w:val="7"/>
              </w:numPr>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Q</w:t>
            </w:r>
            <w:r w:rsidRPr="005946BC">
              <w:rPr>
                <w:sz w:val="24"/>
                <w:szCs w:val="24"/>
              </w:rPr>
              <w:t>uestionnaire emploi administré dans chaque ménage à tous les individus âgés de 10 ans et plus ;</w:t>
            </w:r>
          </w:p>
          <w:p w14:paraId="50C62FF0" w14:textId="31B919E8" w:rsidR="00DB0142" w:rsidRPr="005946BC" w:rsidRDefault="005946BC" w:rsidP="005946BC">
            <w:pPr>
              <w:pStyle w:val="Paragraphedeliste"/>
              <w:numPr>
                <w:ilvl w:val="0"/>
                <w:numId w:val="7"/>
              </w:numPr>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Q</w:t>
            </w:r>
            <w:r w:rsidRPr="005946BC">
              <w:rPr>
                <w:sz w:val="24"/>
                <w:szCs w:val="24"/>
              </w:rPr>
              <w:t>uestionnaire secteur informel administré aux chefs d’unités de production informelles (UPI) non agricoles identifiés pendant l’administration du questionnaire emploi.</w:t>
            </w:r>
          </w:p>
        </w:tc>
      </w:tr>
      <w:tr w:rsidR="00FC3E4E" w:rsidRPr="000D614F" w14:paraId="6798F5E1" w14:textId="77777777" w:rsidTr="00276C23">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235" w:type="pct"/>
            <w:vAlign w:val="center"/>
          </w:tcPr>
          <w:p w14:paraId="0693E3F0" w14:textId="77777777" w:rsidR="00FC3E4E" w:rsidRPr="000D614F" w:rsidRDefault="00FC3E4E" w:rsidP="00B82C3E">
            <w:pPr>
              <w:rPr>
                <w:b w:val="0"/>
                <w:sz w:val="24"/>
                <w:szCs w:val="24"/>
              </w:rPr>
            </w:pPr>
            <w:r w:rsidRPr="000D614F">
              <w:rPr>
                <w:b w:val="0"/>
                <w:sz w:val="24"/>
                <w:szCs w:val="24"/>
              </w:rPr>
              <w:lastRenderedPageBreak/>
              <w:t>5</w:t>
            </w:r>
          </w:p>
        </w:tc>
        <w:tc>
          <w:tcPr>
            <w:tcW w:w="923" w:type="pct"/>
            <w:vAlign w:val="center"/>
          </w:tcPr>
          <w:p w14:paraId="729C1659" w14:textId="28128D4A" w:rsidR="00FC3E4E" w:rsidRPr="00B61243" w:rsidRDefault="00FC3E4E" w:rsidP="00BA1F57">
            <w:pPr>
              <w:jc w:val="both"/>
              <w:cnfStyle w:val="000000100000" w:firstRow="0" w:lastRow="0" w:firstColumn="0" w:lastColumn="0" w:oddVBand="0" w:evenVBand="0" w:oddHBand="1" w:evenHBand="0" w:firstRowFirstColumn="0" w:firstRowLastColumn="0" w:lastRowFirstColumn="0" w:lastRowLastColumn="0"/>
              <w:rPr>
                <w:bCs/>
                <w:sz w:val="24"/>
                <w:szCs w:val="24"/>
              </w:rPr>
            </w:pPr>
            <w:r w:rsidRPr="00B61243">
              <w:rPr>
                <w:bCs/>
                <w:sz w:val="24"/>
                <w:szCs w:val="24"/>
              </w:rPr>
              <w:t>Principaux indicateurs</w:t>
            </w:r>
            <w:r w:rsidR="00B82C3E" w:rsidRPr="00B61243">
              <w:rPr>
                <w:bCs/>
                <w:sz w:val="24"/>
                <w:szCs w:val="24"/>
              </w:rPr>
              <w:t xml:space="preserve"> </w:t>
            </w:r>
            <w:r w:rsidR="00E04D7C" w:rsidRPr="00B61243">
              <w:rPr>
                <w:bCs/>
                <w:sz w:val="24"/>
                <w:szCs w:val="24"/>
              </w:rPr>
              <w:t xml:space="preserve">clés </w:t>
            </w:r>
            <w:r w:rsidR="00B82C3E" w:rsidRPr="00B61243">
              <w:rPr>
                <w:bCs/>
                <w:sz w:val="24"/>
                <w:szCs w:val="24"/>
              </w:rPr>
              <w:t xml:space="preserve">renseignés </w:t>
            </w:r>
            <w:r w:rsidR="00E04D7C" w:rsidRPr="00B61243">
              <w:rPr>
                <w:bCs/>
                <w:sz w:val="24"/>
                <w:szCs w:val="24"/>
              </w:rPr>
              <w:t>(</w:t>
            </w:r>
            <w:r w:rsidR="00B82C3E" w:rsidRPr="00B61243">
              <w:rPr>
                <w:bCs/>
                <w:sz w:val="24"/>
                <w:szCs w:val="24"/>
                <w:u w:val="single"/>
              </w:rPr>
              <w:t>ou</w:t>
            </w:r>
            <w:r w:rsidR="00B82C3E" w:rsidRPr="00B61243">
              <w:rPr>
                <w:bCs/>
                <w:sz w:val="24"/>
                <w:szCs w:val="24"/>
              </w:rPr>
              <w:t xml:space="preserve"> </w:t>
            </w:r>
            <w:r w:rsidR="00B82C3E" w:rsidRPr="00B61243">
              <w:rPr>
                <w:bCs/>
                <w:sz w:val="24"/>
                <w:szCs w:val="24"/>
                <w:u w:val="single"/>
              </w:rPr>
              <w:t xml:space="preserve">disponibles </w:t>
            </w:r>
            <w:r w:rsidR="00E04D7C" w:rsidRPr="00B61243">
              <w:rPr>
                <w:bCs/>
                <w:sz w:val="24"/>
                <w:szCs w:val="24"/>
                <w:u w:val="single"/>
              </w:rPr>
              <w:t>sur le site web/</w:t>
            </w:r>
            <w:r w:rsidR="00B82C3E" w:rsidRPr="00B61243">
              <w:rPr>
                <w:bCs/>
                <w:sz w:val="24"/>
                <w:szCs w:val="24"/>
                <w:u w:val="single"/>
              </w:rPr>
              <w:t>base de données le cas échéant</w:t>
            </w:r>
            <w:r w:rsidR="00E04D7C" w:rsidRPr="00B61243">
              <w:rPr>
                <w:bCs/>
                <w:sz w:val="24"/>
                <w:szCs w:val="24"/>
                <w:u w:val="single"/>
              </w:rPr>
              <w:t>)</w:t>
            </w:r>
          </w:p>
        </w:tc>
        <w:tc>
          <w:tcPr>
            <w:tcW w:w="3842" w:type="pct"/>
            <w:vAlign w:val="center"/>
          </w:tcPr>
          <w:p w14:paraId="699B5293" w14:textId="7CDBF24A" w:rsidR="00BF72A2" w:rsidRPr="006057D1" w:rsidRDefault="00BF72A2" w:rsidP="00BF72A2">
            <w:pPr>
              <w:cnfStyle w:val="000000100000" w:firstRow="0" w:lastRow="0" w:firstColumn="0" w:lastColumn="0" w:oddVBand="0" w:evenVBand="0" w:oddHBand="1" w:evenHBand="0" w:firstRowFirstColumn="0" w:firstRowLastColumn="0" w:lastRowFirstColumn="0" w:lastRowLastColumn="0"/>
              <w:rPr>
                <w:b/>
                <w:bCs/>
              </w:rPr>
            </w:pPr>
            <w:r w:rsidRPr="006057D1">
              <w:rPr>
                <w:b/>
                <w:bCs/>
              </w:rPr>
              <w:t>Indicateurs sur les objectifs de développement durable, ERI-ESI,</w:t>
            </w:r>
            <w:r>
              <w:rPr>
                <w:b/>
                <w:bCs/>
              </w:rPr>
              <w:t> </w:t>
            </w:r>
            <w:r w:rsidRPr="006057D1">
              <w:rPr>
                <w:b/>
                <w:bCs/>
              </w:rPr>
              <w:t xml:space="preserve">2017 </w:t>
            </w:r>
          </w:p>
          <w:p w14:paraId="06BBBBE1" w14:textId="77777777" w:rsidR="00BF72A2" w:rsidRPr="006057D1" w:rsidRDefault="00BF72A2" w:rsidP="00BF72A2">
            <w:pPr>
              <w:cnfStyle w:val="000000100000" w:firstRow="0" w:lastRow="0" w:firstColumn="0" w:lastColumn="0" w:oddVBand="0" w:evenVBand="0" w:oddHBand="1" w:evenHBand="0" w:firstRowFirstColumn="0" w:firstRowLastColumn="0" w:lastRowFirstColumn="0" w:lastRowLastColumn="0"/>
              <w:rPr>
                <w:b/>
                <w:bCs/>
              </w:rPr>
            </w:pPr>
            <w:r w:rsidRPr="006057D1">
              <w:rPr>
                <w:b/>
                <w:bCs/>
              </w:rPr>
              <w:t xml:space="preserve">4. Education de qualité </w:t>
            </w:r>
          </w:p>
          <w:p w14:paraId="6B235E7C" w14:textId="77777777" w:rsidR="00BF72A2" w:rsidRDefault="00BF72A2" w:rsidP="00BF72A2">
            <w:pPr>
              <w:cnfStyle w:val="000000100000" w:firstRow="0" w:lastRow="0" w:firstColumn="0" w:lastColumn="0" w:oddVBand="0" w:evenVBand="0" w:oddHBand="1" w:evenHBand="0" w:firstRowFirstColumn="0" w:firstRowLastColumn="0" w:lastRowFirstColumn="0" w:lastRowLastColumn="0"/>
            </w:pPr>
            <w:r w:rsidRPr="006057D1">
              <w:t xml:space="preserve">4.6.1 Taux d'alphabétisation des 15 ans et plus dans n'importe quelle langue </w:t>
            </w:r>
          </w:p>
          <w:p w14:paraId="46EC9A48" w14:textId="77777777" w:rsidR="00BF72A2" w:rsidRPr="006057D1" w:rsidRDefault="00BF72A2" w:rsidP="00BF72A2">
            <w:pPr>
              <w:cnfStyle w:val="000000100000" w:firstRow="0" w:lastRow="0" w:firstColumn="0" w:lastColumn="0" w:oddVBand="0" w:evenVBand="0" w:oddHBand="1" w:evenHBand="0" w:firstRowFirstColumn="0" w:firstRowLastColumn="0" w:lastRowFirstColumn="0" w:lastRowLastColumn="0"/>
              <w:rPr>
                <w:b/>
                <w:bCs/>
              </w:rPr>
            </w:pPr>
            <w:r w:rsidRPr="006057D1">
              <w:rPr>
                <w:b/>
                <w:bCs/>
              </w:rPr>
              <w:t xml:space="preserve">6. Accès à l'eau potable et assainissement </w:t>
            </w:r>
          </w:p>
          <w:p w14:paraId="7DE790E6" w14:textId="77777777" w:rsidR="00BF72A2" w:rsidRDefault="00BF72A2" w:rsidP="00BF72A2">
            <w:pPr>
              <w:cnfStyle w:val="000000100000" w:firstRow="0" w:lastRow="0" w:firstColumn="0" w:lastColumn="0" w:oddVBand="0" w:evenVBand="0" w:oddHBand="1" w:evenHBand="0" w:firstRowFirstColumn="0" w:firstRowLastColumn="0" w:lastRowFirstColumn="0" w:lastRowLastColumn="0"/>
            </w:pPr>
            <w:r w:rsidRPr="006057D1">
              <w:t xml:space="preserve">6.1.1 Proportion de la population ayant accès à l'eau potable 93,4 Mali 74,7 79,5 </w:t>
            </w:r>
          </w:p>
          <w:p w14:paraId="37AEB21B" w14:textId="77777777" w:rsidR="00BF72A2" w:rsidRDefault="00BF72A2" w:rsidP="00BF72A2">
            <w:pPr>
              <w:cnfStyle w:val="000000100000" w:firstRow="0" w:lastRow="0" w:firstColumn="0" w:lastColumn="0" w:oddVBand="0" w:evenVBand="0" w:oddHBand="1" w:evenHBand="0" w:firstRowFirstColumn="0" w:firstRowLastColumn="0" w:lastRowFirstColumn="0" w:lastRowLastColumn="0"/>
            </w:pPr>
            <w:r w:rsidRPr="006057D1">
              <w:t xml:space="preserve">6.2.1 Proportion de la population ayant accès à des latrines </w:t>
            </w:r>
          </w:p>
          <w:p w14:paraId="43F374AC" w14:textId="77777777" w:rsidR="00BF72A2" w:rsidRPr="006057D1" w:rsidRDefault="00BF72A2" w:rsidP="00BF72A2">
            <w:pPr>
              <w:cnfStyle w:val="000000100000" w:firstRow="0" w:lastRow="0" w:firstColumn="0" w:lastColumn="0" w:oddVBand="0" w:evenVBand="0" w:oddHBand="1" w:evenHBand="0" w:firstRowFirstColumn="0" w:firstRowLastColumn="0" w:lastRowFirstColumn="0" w:lastRowLastColumn="0"/>
              <w:rPr>
                <w:b/>
                <w:bCs/>
              </w:rPr>
            </w:pPr>
            <w:r w:rsidRPr="006057D1">
              <w:rPr>
                <w:b/>
                <w:bCs/>
              </w:rPr>
              <w:t xml:space="preserve">7. Accès à l'énergie propre et à coût abordable </w:t>
            </w:r>
          </w:p>
          <w:p w14:paraId="6DCFD388" w14:textId="77777777" w:rsidR="00BF72A2" w:rsidRDefault="00BF72A2" w:rsidP="00BF72A2">
            <w:pPr>
              <w:cnfStyle w:val="000000100000" w:firstRow="0" w:lastRow="0" w:firstColumn="0" w:lastColumn="0" w:oddVBand="0" w:evenVBand="0" w:oddHBand="1" w:evenHBand="0" w:firstRowFirstColumn="0" w:firstRowLastColumn="0" w:lastRowFirstColumn="0" w:lastRowLastColumn="0"/>
            </w:pPr>
            <w:r w:rsidRPr="006057D1">
              <w:t xml:space="preserve">7.1.1 Proportion de la population ayant accès à l'électricité </w:t>
            </w:r>
          </w:p>
          <w:p w14:paraId="58F2FB92" w14:textId="77777777" w:rsidR="00BF72A2" w:rsidRDefault="00BF72A2" w:rsidP="00BF72A2">
            <w:pPr>
              <w:cnfStyle w:val="000000100000" w:firstRow="0" w:lastRow="0" w:firstColumn="0" w:lastColumn="0" w:oddVBand="0" w:evenVBand="0" w:oddHBand="1" w:evenHBand="0" w:firstRowFirstColumn="0" w:firstRowLastColumn="0" w:lastRowFirstColumn="0" w:lastRowLastColumn="0"/>
            </w:pPr>
            <w:r w:rsidRPr="006057D1">
              <w:t>7.1.2 Proportion de la population ayant accès à des combustibles propres pour la cuisson</w:t>
            </w:r>
          </w:p>
          <w:p w14:paraId="7CA9F0EB" w14:textId="77777777" w:rsidR="00BF72A2" w:rsidRPr="006057D1" w:rsidRDefault="00BF72A2" w:rsidP="00BF72A2">
            <w:pPr>
              <w:cnfStyle w:val="000000100000" w:firstRow="0" w:lastRow="0" w:firstColumn="0" w:lastColumn="0" w:oddVBand="0" w:evenVBand="0" w:oddHBand="1" w:evenHBand="0" w:firstRowFirstColumn="0" w:firstRowLastColumn="0" w:lastRowFirstColumn="0" w:lastRowLastColumn="0"/>
              <w:rPr>
                <w:b/>
                <w:bCs/>
              </w:rPr>
            </w:pPr>
            <w:r w:rsidRPr="006057D1">
              <w:rPr>
                <w:b/>
                <w:bCs/>
              </w:rPr>
              <w:t xml:space="preserve">8. Plein emploi productif et travail décent pour tous </w:t>
            </w:r>
          </w:p>
          <w:p w14:paraId="1E8C6241" w14:textId="77777777" w:rsidR="00BF72A2" w:rsidRDefault="00BF72A2" w:rsidP="00BF72A2">
            <w:pPr>
              <w:cnfStyle w:val="000000100000" w:firstRow="0" w:lastRow="0" w:firstColumn="0" w:lastColumn="0" w:oddVBand="0" w:evenVBand="0" w:oddHBand="1" w:evenHBand="0" w:firstRowFirstColumn="0" w:firstRowLastColumn="0" w:lastRowFirstColumn="0" w:lastRowLastColumn="0"/>
            </w:pPr>
            <w:r w:rsidRPr="006057D1">
              <w:t xml:space="preserve">8.3.1 Proportion de l'emploi informel dans les secteurs non agricoles </w:t>
            </w:r>
          </w:p>
          <w:p w14:paraId="0AA22D43" w14:textId="77777777" w:rsidR="00BF72A2" w:rsidRDefault="00BF72A2" w:rsidP="00BF72A2">
            <w:pPr>
              <w:cnfStyle w:val="000000100000" w:firstRow="0" w:lastRow="0" w:firstColumn="0" w:lastColumn="0" w:oddVBand="0" w:evenVBand="0" w:oddHBand="1" w:evenHBand="0" w:firstRowFirstColumn="0" w:firstRowLastColumn="0" w:lastRowFirstColumn="0" w:lastRowLastColumn="0"/>
            </w:pPr>
            <w:r w:rsidRPr="006057D1">
              <w:t xml:space="preserve">8.5.1 Rémunération horaire moyenne des salariés </w:t>
            </w:r>
          </w:p>
          <w:p w14:paraId="0AAF080F" w14:textId="77777777" w:rsidR="00BF72A2" w:rsidRDefault="00BF72A2" w:rsidP="00BF72A2">
            <w:pPr>
              <w:cnfStyle w:val="000000100000" w:firstRow="0" w:lastRow="0" w:firstColumn="0" w:lastColumn="0" w:oddVBand="0" w:evenVBand="0" w:oddHBand="1" w:evenHBand="0" w:firstRowFirstColumn="0" w:firstRowLastColumn="0" w:lastRowFirstColumn="0" w:lastRowLastColumn="0"/>
            </w:pPr>
            <w:r w:rsidRPr="006057D1">
              <w:t xml:space="preserve">8.5.2 Taux de chômage BIT </w:t>
            </w:r>
          </w:p>
          <w:p w14:paraId="77D4DB12" w14:textId="77777777" w:rsidR="00BF72A2" w:rsidRDefault="00BF72A2" w:rsidP="00BF72A2">
            <w:pPr>
              <w:cnfStyle w:val="000000100000" w:firstRow="0" w:lastRow="0" w:firstColumn="0" w:lastColumn="0" w:oddVBand="0" w:evenVBand="0" w:oddHBand="1" w:evenHBand="0" w:firstRowFirstColumn="0" w:firstRowLastColumn="0" w:lastRowFirstColumn="0" w:lastRowLastColumn="0"/>
            </w:pPr>
            <w:r w:rsidRPr="006057D1">
              <w:t xml:space="preserve">8.6.1 Jeunes de 15-24 ans ni dans le système éducatif ni dans l'emploi </w:t>
            </w:r>
          </w:p>
          <w:p w14:paraId="3BE54783" w14:textId="77777777" w:rsidR="00BF72A2" w:rsidRDefault="00BF72A2" w:rsidP="00BF72A2">
            <w:pPr>
              <w:cnfStyle w:val="000000100000" w:firstRow="0" w:lastRow="0" w:firstColumn="0" w:lastColumn="0" w:oddVBand="0" w:evenVBand="0" w:oddHBand="1" w:evenHBand="0" w:firstRowFirstColumn="0" w:firstRowLastColumn="0" w:lastRowFirstColumn="0" w:lastRowLastColumn="0"/>
            </w:pPr>
            <w:r w:rsidRPr="006057D1">
              <w:t xml:space="preserve">8.8.1 Fréquence des accidents de travail ou de trajet [1] </w:t>
            </w:r>
          </w:p>
          <w:p w14:paraId="65F53DBC" w14:textId="77777777" w:rsidR="00BF72A2" w:rsidRDefault="00BF72A2" w:rsidP="00BF72A2">
            <w:pPr>
              <w:cnfStyle w:val="000000100000" w:firstRow="0" w:lastRow="0" w:firstColumn="0" w:lastColumn="0" w:oddVBand="0" w:evenVBand="0" w:oddHBand="1" w:evenHBand="0" w:firstRowFirstColumn="0" w:firstRowLastColumn="0" w:lastRowFirstColumn="0" w:lastRowLastColumn="0"/>
            </w:pPr>
            <w:r w:rsidRPr="006057D1">
              <w:t xml:space="preserve">8.9.2 Nombre d’emplois dans les secteurs du tourisme, en proportion du nombre total d’emplois </w:t>
            </w:r>
          </w:p>
          <w:p w14:paraId="0C4E4AA3" w14:textId="77777777" w:rsidR="00BF72A2" w:rsidRPr="006057D1" w:rsidRDefault="00BF72A2" w:rsidP="00BF72A2">
            <w:pPr>
              <w:cnfStyle w:val="000000100000" w:firstRow="0" w:lastRow="0" w:firstColumn="0" w:lastColumn="0" w:oddVBand="0" w:evenVBand="0" w:oddHBand="1" w:evenHBand="0" w:firstRowFirstColumn="0" w:firstRowLastColumn="0" w:lastRowFirstColumn="0" w:lastRowLastColumn="0"/>
              <w:rPr>
                <w:b/>
                <w:bCs/>
              </w:rPr>
            </w:pPr>
            <w:r w:rsidRPr="006057D1">
              <w:rPr>
                <w:b/>
                <w:bCs/>
              </w:rPr>
              <w:t xml:space="preserve">9. Bâtir une infrastructure résiliente et promouvoir une industrialisation durable </w:t>
            </w:r>
          </w:p>
          <w:p w14:paraId="329213ED" w14:textId="77777777" w:rsidR="00BF72A2" w:rsidRDefault="00BF72A2" w:rsidP="00BF72A2">
            <w:pPr>
              <w:cnfStyle w:val="000000100000" w:firstRow="0" w:lastRow="0" w:firstColumn="0" w:lastColumn="0" w:oddVBand="0" w:evenVBand="0" w:oddHBand="1" w:evenHBand="0" w:firstRowFirstColumn="0" w:firstRowLastColumn="0" w:lastRowFirstColumn="0" w:lastRowLastColumn="0"/>
            </w:pPr>
            <w:r w:rsidRPr="006057D1">
              <w:t xml:space="preserve">9.2.2 Emploi dans l’industrie manufacturière, en proportion de l’emploi total </w:t>
            </w:r>
          </w:p>
          <w:p w14:paraId="2913343B" w14:textId="77777777" w:rsidR="00BF72A2" w:rsidRPr="006057D1" w:rsidRDefault="00BF72A2" w:rsidP="00BF72A2">
            <w:pPr>
              <w:cnfStyle w:val="000000100000" w:firstRow="0" w:lastRow="0" w:firstColumn="0" w:lastColumn="0" w:oddVBand="0" w:evenVBand="0" w:oddHBand="1" w:evenHBand="0" w:firstRowFirstColumn="0" w:firstRowLastColumn="0" w:lastRowFirstColumn="0" w:lastRowLastColumn="0"/>
              <w:rPr>
                <w:b/>
                <w:bCs/>
              </w:rPr>
            </w:pPr>
            <w:r w:rsidRPr="006057D1">
              <w:rPr>
                <w:b/>
                <w:bCs/>
              </w:rPr>
              <w:t xml:space="preserve">10. Réduire les inégalités </w:t>
            </w:r>
          </w:p>
          <w:p w14:paraId="60C779B3" w14:textId="77777777" w:rsidR="00BF72A2" w:rsidRDefault="00BF72A2" w:rsidP="00BF72A2">
            <w:pPr>
              <w:cnfStyle w:val="000000100000" w:firstRow="0" w:lastRow="0" w:firstColumn="0" w:lastColumn="0" w:oddVBand="0" w:evenVBand="0" w:oddHBand="1" w:evenHBand="0" w:firstRowFirstColumn="0" w:firstRowLastColumn="0" w:lastRowFirstColumn="0" w:lastRowLastColumn="0"/>
            </w:pPr>
            <w:r w:rsidRPr="006057D1">
              <w:t xml:space="preserve">10.3.1 Proportion des individus de 18 ans et plus ayant déclaré avoir personnellement fait objet de discrimination ou de harcèlement pour des motifs interdits par le droit international des droits de l’homme </w:t>
            </w:r>
          </w:p>
          <w:p w14:paraId="5F949FB1" w14:textId="77777777" w:rsidR="00BF72A2" w:rsidRPr="006057D1" w:rsidRDefault="00BF72A2" w:rsidP="00BF72A2">
            <w:pPr>
              <w:cnfStyle w:val="000000100000" w:firstRow="0" w:lastRow="0" w:firstColumn="0" w:lastColumn="0" w:oddVBand="0" w:evenVBand="0" w:oddHBand="1" w:evenHBand="0" w:firstRowFirstColumn="0" w:firstRowLastColumn="0" w:lastRowFirstColumn="0" w:lastRowLastColumn="0"/>
              <w:rPr>
                <w:b/>
                <w:bCs/>
              </w:rPr>
            </w:pPr>
            <w:r w:rsidRPr="006057D1">
              <w:rPr>
                <w:b/>
                <w:bCs/>
              </w:rPr>
              <w:t xml:space="preserve">11. Villes et établissements humains sûrs, résilients et durables </w:t>
            </w:r>
          </w:p>
          <w:p w14:paraId="63BF3712" w14:textId="77777777" w:rsidR="00BF72A2" w:rsidRDefault="00BF72A2" w:rsidP="00BF72A2">
            <w:pPr>
              <w:cnfStyle w:val="000000100000" w:firstRow="0" w:lastRow="0" w:firstColumn="0" w:lastColumn="0" w:oddVBand="0" w:evenVBand="0" w:oddHBand="1" w:evenHBand="0" w:firstRowFirstColumn="0" w:firstRowLastColumn="0" w:lastRowFirstColumn="0" w:lastRowLastColumn="0"/>
            </w:pPr>
            <w:r w:rsidRPr="006057D1">
              <w:t xml:space="preserve">11.7.2 Pourcentage des individus de 18 ans et plus victimes de harcèlement physique ou sexuel </w:t>
            </w:r>
          </w:p>
          <w:p w14:paraId="39B08B5A" w14:textId="77777777" w:rsidR="00BF72A2" w:rsidRPr="006057D1" w:rsidRDefault="00BF72A2" w:rsidP="00BF72A2">
            <w:pPr>
              <w:cnfStyle w:val="000000100000" w:firstRow="0" w:lastRow="0" w:firstColumn="0" w:lastColumn="0" w:oddVBand="0" w:evenVBand="0" w:oddHBand="1" w:evenHBand="0" w:firstRowFirstColumn="0" w:firstRowLastColumn="0" w:lastRowFirstColumn="0" w:lastRowLastColumn="0"/>
              <w:rPr>
                <w:b/>
                <w:bCs/>
              </w:rPr>
            </w:pPr>
            <w:r w:rsidRPr="006057D1">
              <w:rPr>
                <w:b/>
                <w:bCs/>
              </w:rPr>
              <w:t xml:space="preserve">16. Assurer l'accès de tous à la justice et mettre en place des institutions efficaces </w:t>
            </w:r>
          </w:p>
          <w:p w14:paraId="44DEBF0E" w14:textId="77777777" w:rsidR="00BF72A2" w:rsidRDefault="00BF72A2" w:rsidP="00BF72A2">
            <w:pPr>
              <w:cnfStyle w:val="000000100000" w:firstRow="0" w:lastRow="0" w:firstColumn="0" w:lastColumn="0" w:oddVBand="0" w:evenVBand="0" w:oddHBand="1" w:evenHBand="0" w:firstRowFirstColumn="0" w:firstRowLastColumn="0" w:lastRowFirstColumn="0" w:lastRowLastColumn="0"/>
            </w:pPr>
            <w:r w:rsidRPr="006057D1">
              <w:t xml:space="preserve">16.1.3 Pourcentage des individus de 18 ans et plus victimes de violences physiques, psychologiques ou sexuelles au cours des 12 mois précédents </w:t>
            </w:r>
          </w:p>
          <w:p w14:paraId="3054613E" w14:textId="77777777" w:rsidR="00BF72A2" w:rsidRDefault="00BF72A2" w:rsidP="00BF72A2">
            <w:pPr>
              <w:cnfStyle w:val="000000100000" w:firstRow="0" w:lastRow="0" w:firstColumn="0" w:lastColumn="0" w:oddVBand="0" w:evenVBand="0" w:oddHBand="1" w:evenHBand="0" w:firstRowFirstColumn="0" w:firstRowLastColumn="0" w:lastRowFirstColumn="0" w:lastRowLastColumn="0"/>
            </w:pPr>
            <w:r w:rsidRPr="006057D1">
              <w:t xml:space="preserve">16.1.4 Pourcentage des individus de 18 ans et plus considérant qu'il n'y a pas de danger à se déplacer seules à pied dans leur zone de résidence </w:t>
            </w:r>
          </w:p>
          <w:p w14:paraId="3023433E" w14:textId="77777777" w:rsidR="00BF72A2" w:rsidRDefault="00BF72A2" w:rsidP="00BF72A2">
            <w:pPr>
              <w:cnfStyle w:val="000000100000" w:firstRow="0" w:lastRow="0" w:firstColumn="0" w:lastColumn="0" w:oddVBand="0" w:evenVBand="0" w:oddHBand="1" w:evenHBand="0" w:firstRowFirstColumn="0" w:firstRowLastColumn="0" w:lastRowFirstColumn="0" w:lastRowLastColumn="0"/>
            </w:pPr>
            <w:r w:rsidRPr="006057D1">
              <w:t xml:space="preserve">16.3.1 Pourcentage des individus de 18 ans et plus victimes de violences ayant signalé les faits aux autorités compétentes ou recouru à d’autres mécanismes de règlement des différends officiellement reconnus </w:t>
            </w:r>
          </w:p>
          <w:p w14:paraId="57D027F0" w14:textId="719CBF66" w:rsidR="00240673" w:rsidRPr="005946BC" w:rsidRDefault="00240673" w:rsidP="005946BC">
            <w:pPr>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p>
        </w:tc>
      </w:tr>
      <w:tr w:rsidR="00FC3E4E" w:rsidRPr="000D614F" w14:paraId="4E7EC51A" w14:textId="77777777" w:rsidTr="00276C23">
        <w:trPr>
          <w:trHeight w:val="219"/>
        </w:trPr>
        <w:tc>
          <w:tcPr>
            <w:cnfStyle w:val="001000000000" w:firstRow="0" w:lastRow="0" w:firstColumn="1" w:lastColumn="0" w:oddVBand="0" w:evenVBand="0" w:oddHBand="0" w:evenHBand="0" w:firstRowFirstColumn="0" w:firstRowLastColumn="0" w:lastRowFirstColumn="0" w:lastRowLastColumn="0"/>
            <w:tcW w:w="235" w:type="pct"/>
            <w:vAlign w:val="center"/>
          </w:tcPr>
          <w:p w14:paraId="721DB4D1" w14:textId="6B8C5585" w:rsidR="00FC3E4E" w:rsidRPr="000D614F" w:rsidRDefault="00FB2D76" w:rsidP="00B82C3E">
            <w:pPr>
              <w:rPr>
                <w:b w:val="0"/>
                <w:sz w:val="24"/>
                <w:szCs w:val="24"/>
              </w:rPr>
            </w:pPr>
            <w:r>
              <w:rPr>
                <w:b w:val="0"/>
                <w:sz w:val="24"/>
                <w:szCs w:val="24"/>
              </w:rPr>
              <w:t>6</w:t>
            </w:r>
          </w:p>
        </w:tc>
        <w:tc>
          <w:tcPr>
            <w:tcW w:w="923" w:type="pct"/>
            <w:vAlign w:val="center"/>
          </w:tcPr>
          <w:p w14:paraId="78AEAE55" w14:textId="09A52BC5" w:rsidR="00FC3E4E" w:rsidRPr="00B61243" w:rsidRDefault="00FC3E4E" w:rsidP="00BA1F57">
            <w:pPr>
              <w:jc w:val="both"/>
              <w:cnfStyle w:val="000000000000" w:firstRow="0" w:lastRow="0" w:firstColumn="0" w:lastColumn="0" w:oddVBand="0" w:evenVBand="0" w:oddHBand="0" w:evenHBand="0" w:firstRowFirstColumn="0" w:firstRowLastColumn="0" w:lastRowFirstColumn="0" w:lastRowLastColumn="0"/>
              <w:rPr>
                <w:bCs/>
                <w:sz w:val="24"/>
                <w:szCs w:val="24"/>
              </w:rPr>
            </w:pPr>
            <w:r w:rsidRPr="00B61243">
              <w:rPr>
                <w:bCs/>
                <w:sz w:val="24"/>
                <w:szCs w:val="24"/>
              </w:rPr>
              <w:t>Utilisateurs (Cibles)</w:t>
            </w:r>
          </w:p>
        </w:tc>
        <w:tc>
          <w:tcPr>
            <w:tcW w:w="3842" w:type="pct"/>
            <w:vAlign w:val="center"/>
          </w:tcPr>
          <w:p w14:paraId="05A63CF7" w14:textId="5780C0A2" w:rsidR="00186B1C" w:rsidRPr="00186B1C" w:rsidRDefault="004F443A" w:rsidP="00186B1C">
            <w:pPr>
              <w:pStyle w:val="Paragraphedeliste"/>
              <w:numPr>
                <w:ilvl w:val="0"/>
                <w:numId w:val="11"/>
              </w:numPr>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Comptes nationaux</w:t>
            </w:r>
            <w:r w:rsidR="00186B1C" w:rsidRPr="00186B1C">
              <w:rPr>
                <w:sz w:val="20"/>
                <w:szCs w:val="20"/>
              </w:rPr>
              <w:t> ;</w:t>
            </w:r>
          </w:p>
          <w:p w14:paraId="3A17F9F3" w14:textId="27BCCE4E" w:rsidR="00FC3E4E" w:rsidRPr="00186B1C" w:rsidRDefault="00240673" w:rsidP="00186B1C">
            <w:pPr>
              <w:pStyle w:val="Paragraphedeliste"/>
              <w:numPr>
                <w:ilvl w:val="0"/>
                <w:numId w:val="11"/>
              </w:numPr>
              <w:jc w:val="both"/>
              <w:cnfStyle w:val="000000000000" w:firstRow="0" w:lastRow="0" w:firstColumn="0" w:lastColumn="0" w:oddVBand="0" w:evenVBand="0" w:oddHBand="0" w:evenHBand="0" w:firstRowFirstColumn="0" w:firstRowLastColumn="0" w:lastRowFirstColumn="0" w:lastRowLastColumn="0"/>
              <w:rPr>
                <w:sz w:val="20"/>
                <w:szCs w:val="20"/>
              </w:rPr>
            </w:pPr>
            <w:r w:rsidRPr="00186B1C">
              <w:rPr>
                <w:sz w:val="20"/>
                <w:szCs w:val="20"/>
              </w:rPr>
              <w:t>Monde universitaire</w:t>
            </w:r>
            <w:r w:rsidR="00186B1C" w:rsidRPr="00186B1C">
              <w:rPr>
                <w:sz w:val="20"/>
                <w:szCs w:val="20"/>
              </w:rPr>
              <w:t> ;</w:t>
            </w:r>
          </w:p>
          <w:p w14:paraId="6062EF2F" w14:textId="08FAB903" w:rsidR="00186B1C" w:rsidRPr="00186B1C" w:rsidRDefault="00691415" w:rsidP="00186B1C">
            <w:pPr>
              <w:pStyle w:val="Paragraphedeliste"/>
              <w:numPr>
                <w:ilvl w:val="0"/>
                <w:numId w:val="11"/>
              </w:numPr>
              <w:jc w:val="both"/>
              <w:cnfStyle w:val="000000000000" w:firstRow="0" w:lastRow="0" w:firstColumn="0" w:lastColumn="0" w:oddVBand="0" w:evenVBand="0" w:oddHBand="0" w:evenHBand="0" w:firstRowFirstColumn="0" w:firstRowLastColumn="0" w:lastRowFirstColumn="0" w:lastRowLastColumn="0"/>
              <w:rPr>
                <w:sz w:val="24"/>
                <w:szCs w:val="24"/>
              </w:rPr>
            </w:pPr>
            <w:r>
              <w:rPr>
                <w:sz w:val="20"/>
                <w:szCs w:val="20"/>
              </w:rPr>
              <w:t>Etc.</w:t>
            </w:r>
          </w:p>
        </w:tc>
      </w:tr>
      <w:tr w:rsidR="00FC3E4E" w:rsidRPr="000D614F" w14:paraId="229E8B8E" w14:textId="77777777" w:rsidTr="00276C23">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235" w:type="pct"/>
            <w:vAlign w:val="center"/>
          </w:tcPr>
          <w:p w14:paraId="705C46EA" w14:textId="77777777" w:rsidR="00FC3E4E" w:rsidRPr="000D614F" w:rsidRDefault="00FC3E4E" w:rsidP="00B82C3E">
            <w:pPr>
              <w:rPr>
                <w:b w:val="0"/>
                <w:sz w:val="24"/>
                <w:szCs w:val="24"/>
              </w:rPr>
            </w:pPr>
            <w:r w:rsidRPr="000D614F">
              <w:rPr>
                <w:b w:val="0"/>
                <w:sz w:val="24"/>
                <w:szCs w:val="24"/>
              </w:rPr>
              <w:t>7</w:t>
            </w:r>
          </w:p>
        </w:tc>
        <w:tc>
          <w:tcPr>
            <w:tcW w:w="923" w:type="pct"/>
            <w:vAlign w:val="center"/>
          </w:tcPr>
          <w:p w14:paraId="1F19825C" w14:textId="60871A77" w:rsidR="00FC3E4E" w:rsidRPr="000D614F" w:rsidRDefault="00FC3E4E" w:rsidP="005946BC">
            <w:pPr>
              <w:cnfStyle w:val="000000100000" w:firstRow="0" w:lastRow="0" w:firstColumn="0" w:lastColumn="0" w:oddVBand="0" w:evenVBand="0" w:oddHBand="1" w:evenHBand="0" w:firstRowFirstColumn="0" w:firstRowLastColumn="0" w:lastRowFirstColumn="0" w:lastRowLastColumn="0"/>
              <w:rPr>
                <w:bCs/>
                <w:sz w:val="24"/>
                <w:szCs w:val="24"/>
              </w:rPr>
            </w:pPr>
            <w:r w:rsidRPr="000D614F">
              <w:rPr>
                <w:sz w:val="24"/>
                <w:szCs w:val="24"/>
              </w:rPr>
              <w:t>Fréquence</w:t>
            </w:r>
            <w:r w:rsidR="005946BC">
              <w:rPr>
                <w:sz w:val="24"/>
                <w:szCs w:val="24"/>
              </w:rPr>
              <w:t xml:space="preserve"> </w:t>
            </w:r>
            <w:r w:rsidRPr="000D614F">
              <w:rPr>
                <w:sz w:val="24"/>
                <w:szCs w:val="24"/>
              </w:rPr>
              <w:t>de production</w:t>
            </w:r>
            <w:r w:rsidR="003465DD" w:rsidRPr="000D614F">
              <w:rPr>
                <w:sz w:val="24"/>
                <w:szCs w:val="24"/>
              </w:rPr>
              <w:t>/Publication</w:t>
            </w:r>
          </w:p>
        </w:tc>
        <w:tc>
          <w:tcPr>
            <w:tcW w:w="3842" w:type="pct"/>
            <w:vAlign w:val="center"/>
          </w:tcPr>
          <w:p w14:paraId="30AAC6EF" w14:textId="0812F7EF" w:rsidR="00FC3E4E" w:rsidRPr="00186B1C" w:rsidRDefault="004F443A" w:rsidP="00BA1F57">
            <w:pPr>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L’enquête ERI-ESI a été réalisée une seule fois en 2017.</w:t>
            </w:r>
          </w:p>
        </w:tc>
      </w:tr>
      <w:tr w:rsidR="00245BB8" w:rsidRPr="000D614F" w14:paraId="0AA46225" w14:textId="77777777" w:rsidTr="00276C23">
        <w:trPr>
          <w:trHeight w:val="196"/>
        </w:trPr>
        <w:tc>
          <w:tcPr>
            <w:cnfStyle w:val="001000000000" w:firstRow="0" w:lastRow="0" w:firstColumn="1" w:lastColumn="0" w:oddVBand="0" w:evenVBand="0" w:oddHBand="0" w:evenHBand="0" w:firstRowFirstColumn="0" w:firstRowLastColumn="0" w:lastRowFirstColumn="0" w:lastRowLastColumn="0"/>
            <w:tcW w:w="235" w:type="pct"/>
            <w:vAlign w:val="center"/>
          </w:tcPr>
          <w:p w14:paraId="3BB17291" w14:textId="5B6C87D9" w:rsidR="00245BB8" w:rsidRPr="000D614F" w:rsidRDefault="00245BB8" w:rsidP="00245BB8">
            <w:pPr>
              <w:rPr>
                <w:sz w:val="24"/>
                <w:szCs w:val="24"/>
              </w:rPr>
            </w:pPr>
            <w:r w:rsidRPr="000D614F">
              <w:rPr>
                <w:b w:val="0"/>
                <w:sz w:val="24"/>
                <w:szCs w:val="24"/>
              </w:rPr>
              <w:t>8</w:t>
            </w:r>
          </w:p>
        </w:tc>
        <w:tc>
          <w:tcPr>
            <w:tcW w:w="923" w:type="pct"/>
            <w:vAlign w:val="center"/>
          </w:tcPr>
          <w:p w14:paraId="21850184" w14:textId="778B5609" w:rsidR="00245BB8" w:rsidRPr="000D614F" w:rsidRDefault="00245BB8" w:rsidP="00245BB8">
            <w:pPr>
              <w:jc w:val="both"/>
              <w:cnfStyle w:val="000000000000" w:firstRow="0" w:lastRow="0" w:firstColumn="0" w:lastColumn="0" w:oddVBand="0" w:evenVBand="0" w:oddHBand="0" w:evenHBand="0" w:firstRowFirstColumn="0" w:firstRowLastColumn="0" w:lastRowFirstColumn="0" w:lastRowLastColumn="0"/>
              <w:rPr>
                <w:sz w:val="24"/>
                <w:szCs w:val="24"/>
              </w:rPr>
            </w:pPr>
            <w:r w:rsidRPr="000D614F">
              <w:rPr>
                <w:sz w:val="24"/>
                <w:szCs w:val="24"/>
              </w:rPr>
              <w:t>Thématiques couvertes</w:t>
            </w:r>
          </w:p>
        </w:tc>
        <w:tc>
          <w:tcPr>
            <w:tcW w:w="3842" w:type="pct"/>
            <w:vAlign w:val="center"/>
          </w:tcPr>
          <w:p w14:paraId="719FD6D7" w14:textId="77777777" w:rsidR="00293939" w:rsidRPr="00293939" w:rsidRDefault="00293939" w:rsidP="00293939">
            <w:pPr>
              <w:pStyle w:val="Paragraphedeliste"/>
              <w:numPr>
                <w:ilvl w:val="0"/>
                <w:numId w:val="14"/>
              </w:numPr>
              <w:cnfStyle w:val="000000000000" w:firstRow="0" w:lastRow="0" w:firstColumn="0" w:lastColumn="0" w:oddVBand="0" w:evenVBand="0" w:oddHBand="0" w:evenHBand="0" w:firstRowFirstColumn="0" w:firstRowLastColumn="0" w:lastRowFirstColumn="0" w:lastRowLastColumn="0"/>
            </w:pPr>
            <w:r w:rsidRPr="00293939">
              <w:t>Situation dans l’emploi ;</w:t>
            </w:r>
          </w:p>
          <w:p w14:paraId="1C01E66D" w14:textId="77777777" w:rsidR="00293939" w:rsidRPr="00293939" w:rsidRDefault="00293939" w:rsidP="00293939">
            <w:pPr>
              <w:pStyle w:val="Paragraphedeliste"/>
              <w:numPr>
                <w:ilvl w:val="0"/>
                <w:numId w:val="14"/>
              </w:numPr>
              <w:cnfStyle w:val="000000000000" w:firstRow="0" w:lastRow="0" w:firstColumn="0" w:lastColumn="0" w:oddVBand="0" w:evenVBand="0" w:oddHBand="0" w:evenHBand="0" w:firstRowFirstColumn="0" w:firstRowLastColumn="0" w:lastRowFirstColumn="0" w:lastRowLastColumn="0"/>
            </w:pPr>
            <w:r w:rsidRPr="00293939">
              <w:t>Activité principale et secondaire ;</w:t>
            </w:r>
          </w:p>
          <w:p w14:paraId="0FF1A1DE" w14:textId="77777777" w:rsidR="00293939" w:rsidRPr="00293939" w:rsidRDefault="00293939" w:rsidP="00293939">
            <w:pPr>
              <w:pStyle w:val="Paragraphedeliste"/>
              <w:numPr>
                <w:ilvl w:val="0"/>
                <w:numId w:val="14"/>
              </w:numPr>
              <w:cnfStyle w:val="000000000000" w:firstRow="0" w:lastRow="0" w:firstColumn="0" w:lastColumn="0" w:oddVBand="0" w:evenVBand="0" w:oddHBand="0" w:evenHBand="0" w:firstRowFirstColumn="0" w:firstRowLastColumn="0" w:lastRowFirstColumn="0" w:lastRowLastColumn="0"/>
            </w:pPr>
            <w:r w:rsidRPr="00293939">
              <w:t>Satisfaction générale dans l’emploi et dans le travail en activité principale ;</w:t>
            </w:r>
          </w:p>
          <w:p w14:paraId="43DB72F4" w14:textId="77777777" w:rsidR="00293939" w:rsidRPr="00293939" w:rsidRDefault="00293939" w:rsidP="00293939">
            <w:pPr>
              <w:pStyle w:val="Paragraphedeliste"/>
              <w:numPr>
                <w:ilvl w:val="0"/>
                <w:numId w:val="14"/>
              </w:numPr>
              <w:cnfStyle w:val="000000000000" w:firstRow="0" w:lastRow="0" w:firstColumn="0" w:lastColumn="0" w:oddVBand="0" w:evenVBand="0" w:oddHBand="0" w:evenHBand="0" w:firstRowFirstColumn="0" w:firstRowLastColumn="0" w:lastRowFirstColumn="0" w:lastRowLastColumn="0"/>
            </w:pPr>
            <w:r w:rsidRPr="00293939">
              <w:lastRenderedPageBreak/>
              <w:t xml:space="preserve">Satisfaction générale dans l’emploi et dans le travail en activités secondaires ; </w:t>
            </w:r>
          </w:p>
          <w:p w14:paraId="54D5C20C" w14:textId="77777777" w:rsidR="00293939" w:rsidRPr="00293939" w:rsidRDefault="00293939" w:rsidP="00293939">
            <w:pPr>
              <w:pStyle w:val="Paragraphedeliste"/>
              <w:numPr>
                <w:ilvl w:val="0"/>
                <w:numId w:val="14"/>
              </w:numPr>
              <w:cnfStyle w:val="000000000000" w:firstRow="0" w:lastRow="0" w:firstColumn="0" w:lastColumn="0" w:oddVBand="0" w:evenVBand="0" w:oddHBand="0" w:evenHBand="0" w:firstRowFirstColumn="0" w:firstRowLastColumn="0" w:lastRowFirstColumn="0" w:lastRowLastColumn="0"/>
            </w:pPr>
            <w:r w:rsidRPr="00293939">
              <w:t xml:space="preserve">Protection sociale ; </w:t>
            </w:r>
          </w:p>
          <w:p w14:paraId="2782242C" w14:textId="77777777" w:rsidR="00293939" w:rsidRPr="00293939" w:rsidRDefault="00293939" w:rsidP="00293939">
            <w:pPr>
              <w:pStyle w:val="Paragraphedeliste"/>
              <w:numPr>
                <w:ilvl w:val="0"/>
                <w:numId w:val="14"/>
              </w:numPr>
              <w:cnfStyle w:val="000000000000" w:firstRow="0" w:lastRow="0" w:firstColumn="0" w:lastColumn="0" w:oddVBand="0" w:evenVBand="0" w:oddHBand="0" w:evenHBand="0" w:firstRowFirstColumn="0" w:firstRowLastColumn="0" w:lastRowFirstColumn="0" w:lastRowLastColumn="0"/>
            </w:pPr>
            <w:r w:rsidRPr="00293939">
              <w:t xml:space="preserve">Formation professionnelle et stage de perfectionnement ; </w:t>
            </w:r>
          </w:p>
          <w:p w14:paraId="46B26F58" w14:textId="77777777" w:rsidR="00293939" w:rsidRPr="00293939" w:rsidRDefault="00293939" w:rsidP="00293939">
            <w:pPr>
              <w:pStyle w:val="Paragraphedeliste"/>
              <w:numPr>
                <w:ilvl w:val="0"/>
                <w:numId w:val="14"/>
              </w:numPr>
              <w:cnfStyle w:val="000000000000" w:firstRow="0" w:lastRow="0" w:firstColumn="0" w:lastColumn="0" w:oddVBand="0" w:evenVBand="0" w:oddHBand="0" w:evenHBand="0" w:firstRowFirstColumn="0" w:firstRowLastColumn="0" w:lastRowFirstColumn="0" w:lastRowLastColumn="0"/>
            </w:pPr>
            <w:r w:rsidRPr="00293939">
              <w:t xml:space="preserve">Problèmes rencontrés sur le lieu de travail ; </w:t>
            </w:r>
          </w:p>
          <w:p w14:paraId="4666681F" w14:textId="77777777" w:rsidR="00293939" w:rsidRPr="00293939" w:rsidRDefault="00293939" w:rsidP="00293939">
            <w:pPr>
              <w:pStyle w:val="Paragraphedeliste"/>
              <w:numPr>
                <w:ilvl w:val="0"/>
                <w:numId w:val="14"/>
              </w:numPr>
              <w:cnfStyle w:val="000000000000" w:firstRow="0" w:lastRow="0" w:firstColumn="0" w:lastColumn="0" w:oddVBand="0" w:evenVBand="0" w:oddHBand="0" w:evenHBand="0" w:firstRowFirstColumn="0" w:firstRowLastColumn="0" w:lastRowFirstColumn="0" w:lastRowLastColumn="0"/>
            </w:pPr>
            <w:r w:rsidRPr="00293939">
              <w:t>Recherche d’emploi par les actifs occupés ;</w:t>
            </w:r>
          </w:p>
          <w:p w14:paraId="61B54F57" w14:textId="77777777" w:rsidR="00293939" w:rsidRPr="00293939" w:rsidRDefault="00293939" w:rsidP="00293939">
            <w:pPr>
              <w:pStyle w:val="Paragraphedeliste"/>
              <w:numPr>
                <w:ilvl w:val="0"/>
                <w:numId w:val="14"/>
              </w:numPr>
              <w:cnfStyle w:val="000000000000" w:firstRow="0" w:lastRow="0" w:firstColumn="0" w:lastColumn="0" w:oddVBand="0" w:evenVBand="0" w:oddHBand="0" w:evenHBand="0" w:firstRowFirstColumn="0" w:firstRowLastColumn="0" w:lastRowFirstColumn="0" w:lastRowLastColumn="0"/>
            </w:pPr>
            <w:r w:rsidRPr="00293939">
              <w:t xml:space="preserve">Chômage ; </w:t>
            </w:r>
          </w:p>
          <w:p w14:paraId="03B1B3E5" w14:textId="77777777" w:rsidR="00293939" w:rsidRPr="00293939" w:rsidRDefault="00293939" w:rsidP="00293939">
            <w:pPr>
              <w:pStyle w:val="Paragraphedeliste"/>
              <w:numPr>
                <w:ilvl w:val="0"/>
                <w:numId w:val="14"/>
              </w:numPr>
              <w:cnfStyle w:val="000000000000" w:firstRow="0" w:lastRow="0" w:firstColumn="0" w:lastColumn="0" w:oddVBand="0" w:evenVBand="0" w:oddHBand="0" w:evenHBand="0" w:firstRowFirstColumn="0" w:firstRowLastColumn="0" w:lastRowFirstColumn="0" w:lastRowLastColumn="0"/>
            </w:pPr>
            <w:r w:rsidRPr="00293939">
              <w:t>Trajectoire et perspectives ;</w:t>
            </w:r>
          </w:p>
          <w:p w14:paraId="534F1243" w14:textId="77777777" w:rsidR="00293939" w:rsidRPr="00293939" w:rsidRDefault="00293939" w:rsidP="00293939">
            <w:pPr>
              <w:pStyle w:val="Paragraphedeliste"/>
              <w:numPr>
                <w:ilvl w:val="0"/>
                <w:numId w:val="14"/>
              </w:numPr>
              <w:cnfStyle w:val="000000000000" w:firstRow="0" w:lastRow="0" w:firstColumn="0" w:lastColumn="0" w:oddVBand="0" w:evenVBand="0" w:oddHBand="0" w:evenHBand="0" w:firstRowFirstColumn="0" w:firstRowLastColumn="0" w:lastRowFirstColumn="0" w:lastRowLastColumn="0"/>
            </w:pPr>
            <w:r w:rsidRPr="00293939">
              <w:t xml:space="preserve">Revenus hors emploi ; </w:t>
            </w:r>
          </w:p>
          <w:p w14:paraId="1B7C656A" w14:textId="77777777" w:rsidR="00293939" w:rsidRPr="00293939" w:rsidRDefault="00293939" w:rsidP="00293939">
            <w:pPr>
              <w:pStyle w:val="Paragraphedeliste"/>
              <w:numPr>
                <w:ilvl w:val="0"/>
                <w:numId w:val="14"/>
              </w:numPr>
              <w:cnfStyle w:val="000000000000" w:firstRow="0" w:lastRow="0" w:firstColumn="0" w:lastColumn="0" w:oddVBand="0" w:evenVBand="0" w:oddHBand="0" w:evenHBand="0" w:firstRowFirstColumn="0" w:firstRowLastColumn="0" w:lastRowFirstColumn="0" w:lastRowLastColumn="0"/>
            </w:pPr>
            <w:r w:rsidRPr="00293939">
              <w:t xml:space="preserve">Paix et la sécurité ; </w:t>
            </w:r>
          </w:p>
          <w:p w14:paraId="4934D2F8" w14:textId="77777777" w:rsidR="00CB6D14" w:rsidRDefault="00293939" w:rsidP="00CB6D14">
            <w:pPr>
              <w:pStyle w:val="Paragraphedeliste"/>
              <w:numPr>
                <w:ilvl w:val="0"/>
                <w:numId w:val="14"/>
              </w:numPr>
              <w:cnfStyle w:val="000000000000" w:firstRow="0" w:lastRow="0" w:firstColumn="0" w:lastColumn="0" w:oddVBand="0" w:evenVBand="0" w:oddHBand="0" w:evenHBand="0" w:firstRowFirstColumn="0" w:firstRowLastColumn="0" w:lastRowFirstColumn="0" w:lastRowLastColumn="0"/>
            </w:pPr>
            <w:r w:rsidRPr="00293939">
              <w:t>Gouvernance démocratique.</w:t>
            </w:r>
          </w:p>
          <w:p w14:paraId="11C4FC68" w14:textId="12AF2036" w:rsidR="00CB6D14" w:rsidRPr="00CB6D14" w:rsidRDefault="00CB6D14" w:rsidP="00CB6D14">
            <w:pPr>
              <w:pStyle w:val="Paragraphedeliste"/>
              <w:cnfStyle w:val="000000000000" w:firstRow="0" w:lastRow="0" w:firstColumn="0" w:lastColumn="0" w:oddVBand="0" w:evenVBand="0" w:oddHBand="0" w:evenHBand="0" w:firstRowFirstColumn="0" w:firstRowLastColumn="0" w:lastRowFirstColumn="0" w:lastRowLastColumn="0"/>
              <w:rPr>
                <w:b/>
                <w:bCs/>
              </w:rPr>
            </w:pPr>
            <w:r w:rsidRPr="00CB6D14">
              <w:rPr>
                <w:b/>
                <w:bCs/>
              </w:rPr>
              <w:t>Unités de production</w:t>
            </w:r>
          </w:p>
          <w:p w14:paraId="716C8BB9" w14:textId="77777777" w:rsidR="00CB6D14" w:rsidRPr="00CB6D14" w:rsidRDefault="00CB6D14" w:rsidP="00CB6D14">
            <w:pPr>
              <w:pStyle w:val="Paragraphedeliste"/>
              <w:numPr>
                <w:ilvl w:val="0"/>
                <w:numId w:val="15"/>
              </w:numPr>
              <w:cnfStyle w:val="000000000000" w:firstRow="0" w:lastRow="0" w:firstColumn="0" w:lastColumn="0" w:oddVBand="0" w:evenVBand="0" w:oddHBand="0" w:evenHBand="0" w:firstRowFirstColumn="0" w:firstRowLastColumn="0" w:lastRowFirstColumn="0" w:lastRowLastColumn="0"/>
            </w:pPr>
            <w:r w:rsidRPr="00CB6D14">
              <w:t xml:space="preserve">Caractéristiques de l’unité de production ; </w:t>
            </w:r>
          </w:p>
          <w:p w14:paraId="6C393EED" w14:textId="77777777" w:rsidR="00CB6D14" w:rsidRPr="00CB6D14" w:rsidRDefault="00CB6D14" w:rsidP="00CB6D14">
            <w:pPr>
              <w:pStyle w:val="Paragraphedeliste"/>
              <w:numPr>
                <w:ilvl w:val="0"/>
                <w:numId w:val="15"/>
              </w:numPr>
              <w:cnfStyle w:val="000000000000" w:firstRow="0" w:lastRow="0" w:firstColumn="0" w:lastColumn="0" w:oddVBand="0" w:evenVBand="0" w:oddHBand="0" w:evenHBand="0" w:firstRowFirstColumn="0" w:firstRowLastColumn="0" w:lastRowFirstColumn="0" w:lastRowLastColumn="0"/>
            </w:pPr>
            <w:r w:rsidRPr="00CB6D14">
              <w:t xml:space="preserve">Main d’œuvre ; </w:t>
            </w:r>
          </w:p>
          <w:p w14:paraId="6B2FFAB6" w14:textId="77777777" w:rsidR="00CB6D14" w:rsidRPr="00CB6D14" w:rsidRDefault="00CB6D14" w:rsidP="00CB6D14">
            <w:pPr>
              <w:pStyle w:val="Paragraphedeliste"/>
              <w:numPr>
                <w:ilvl w:val="0"/>
                <w:numId w:val="15"/>
              </w:numPr>
              <w:cnfStyle w:val="000000000000" w:firstRow="0" w:lastRow="0" w:firstColumn="0" w:lastColumn="0" w:oddVBand="0" w:evenVBand="0" w:oddHBand="0" w:evenHBand="0" w:firstRowFirstColumn="0" w:firstRowLastColumn="0" w:lastRowFirstColumn="0" w:lastRowLastColumn="0"/>
            </w:pPr>
            <w:r w:rsidRPr="00CB6D14">
              <w:t>Production et la vente ;</w:t>
            </w:r>
          </w:p>
          <w:p w14:paraId="2AB2189F" w14:textId="77777777" w:rsidR="00CB6D14" w:rsidRPr="00CB6D14" w:rsidRDefault="00CB6D14" w:rsidP="00CB6D14">
            <w:pPr>
              <w:pStyle w:val="Paragraphedeliste"/>
              <w:numPr>
                <w:ilvl w:val="0"/>
                <w:numId w:val="15"/>
              </w:numPr>
              <w:cnfStyle w:val="000000000000" w:firstRow="0" w:lastRow="0" w:firstColumn="0" w:lastColumn="0" w:oddVBand="0" w:evenVBand="0" w:oddHBand="0" w:evenHBand="0" w:firstRowFirstColumn="0" w:firstRowLastColumn="0" w:lastRowFirstColumn="0" w:lastRowLastColumn="0"/>
            </w:pPr>
            <w:r w:rsidRPr="00CB6D14">
              <w:t xml:space="preserve">Dépenses et charges ; </w:t>
            </w:r>
          </w:p>
          <w:p w14:paraId="0D675306" w14:textId="77777777" w:rsidR="00CB6D14" w:rsidRPr="00CB6D14" w:rsidRDefault="00CB6D14" w:rsidP="00CB6D14">
            <w:pPr>
              <w:pStyle w:val="Paragraphedeliste"/>
              <w:numPr>
                <w:ilvl w:val="0"/>
                <w:numId w:val="15"/>
              </w:numPr>
              <w:cnfStyle w:val="000000000000" w:firstRow="0" w:lastRow="0" w:firstColumn="0" w:lastColumn="0" w:oddVBand="0" w:evenVBand="0" w:oddHBand="0" w:evenHBand="0" w:firstRowFirstColumn="0" w:firstRowLastColumn="0" w:lastRowFirstColumn="0" w:lastRowLastColumn="0"/>
            </w:pPr>
            <w:r w:rsidRPr="00CB6D14">
              <w:t xml:space="preserve">Clients, les fournisseurs et les concurrents ; </w:t>
            </w:r>
          </w:p>
          <w:p w14:paraId="4FE8B6B0" w14:textId="77777777" w:rsidR="00CB6D14" w:rsidRPr="00CB6D14" w:rsidRDefault="00CB6D14" w:rsidP="00CB6D14">
            <w:pPr>
              <w:pStyle w:val="Paragraphedeliste"/>
              <w:numPr>
                <w:ilvl w:val="0"/>
                <w:numId w:val="15"/>
              </w:numPr>
              <w:cnfStyle w:val="000000000000" w:firstRow="0" w:lastRow="0" w:firstColumn="0" w:lastColumn="0" w:oddVBand="0" w:evenVBand="0" w:oddHBand="0" w:evenHBand="0" w:firstRowFirstColumn="0" w:firstRowLastColumn="0" w:lastRowFirstColumn="0" w:lastRowLastColumn="0"/>
            </w:pPr>
            <w:r w:rsidRPr="00CB6D14">
              <w:t xml:space="preserve">Equipements, l’investissement, le financement et l’endettement ; </w:t>
            </w:r>
          </w:p>
          <w:p w14:paraId="2DB56FE8" w14:textId="77777777" w:rsidR="00CB6D14" w:rsidRPr="00CB6D14" w:rsidRDefault="00CB6D14" w:rsidP="00CB6D14">
            <w:pPr>
              <w:pStyle w:val="Paragraphedeliste"/>
              <w:numPr>
                <w:ilvl w:val="0"/>
                <w:numId w:val="15"/>
              </w:numPr>
              <w:cnfStyle w:val="000000000000" w:firstRow="0" w:lastRow="0" w:firstColumn="0" w:lastColumn="0" w:oddVBand="0" w:evenVBand="0" w:oddHBand="0" w:evenHBand="0" w:firstRowFirstColumn="0" w:firstRowLastColumn="0" w:lastRowFirstColumn="0" w:lastRowLastColumn="0"/>
            </w:pPr>
            <w:r w:rsidRPr="00CB6D14">
              <w:t xml:space="preserve">Problèmes et les perspectives ; </w:t>
            </w:r>
          </w:p>
          <w:p w14:paraId="2492D553" w14:textId="77777777" w:rsidR="00CB6D14" w:rsidRPr="00CB6D14" w:rsidRDefault="00CB6D14" w:rsidP="00CB6D14">
            <w:pPr>
              <w:pStyle w:val="Paragraphedeliste"/>
              <w:numPr>
                <w:ilvl w:val="0"/>
                <w:numId w:val="15"/>
              </w:numPr>
              <w:cnfStyle w:val="000000000000" w:firstRow="0" w:lastRow="0" w:firstColumn="0" w:lastColumn="0" w:oddVBand="0" w:evenVBand="0" w:oddHBand="0" w:evenHBand="0" w:firstRowFirstColumn="0" w:firstRowLastColumn="0" w:lastRowFirstColumn="0" w:lastRowLastColumn="0"/>
            </w:pPr>
            <w:r w:rsidRPr="00CB6D14">
              <w:t xml:space="preserve">Sécurité sociale ; </w:t>
            </w:r>
          </w:p>
          <w:p w14:paraId="7CBE520B" w14:textId="77777777" w:rsidR="00CB6D14" w:rsidRDefault="00CB6D14" w:rsidP="00CB6D14">
            <w:pPr>
              <w:pStyle w:val="Paragraphedeliste"/>
              <w:numPr>
                <w:ilvl w:val="0"/>
                <w:numId w:val="15"/>
              </w:numPr>
              <w:cnfStyle w:val="000000000000" w:firstRow="0" w:lastRow="0" w:firstColumn="0" w:lastColumn="0" w:oddVBand="0" w:evenVBand="0" w:oddHBand="0" w:evenHBand="0" w:firstRowFirstColumn="0" w:firstRowLastColumn="0" w:lastRowFirstColumn="0" w:lastRowLastColumn="0"/>
            </w:pPr>
            <w:r w:rsidRPr="00CB6D14">
              <w:t>Protection de l’environnement.</w:t>
            </w:r>
          </w:p>
          <w:p w14:paraId="23C5AC37" w14:textId="707EBA67" w:rsidR="00CB6D14" w:rsidRDefault="00CB6D14" w:rsidP="00CB6D14">
            <w:pPr>
              <w:pStyle w:val="Paragraphedeliste"/>
              <w:cnfStyle w:val="000000000000" w:firstRow="0" w:lastRow="0" w:firstColumn="0" w:lastColumn="0" w:oddVBand="0" w:evenVBand="0" w:oddHBand="0" w:evenHBand="0" w:firstRowFirstColumn="0" w:firstRowLastColumn="0" w:lastRowFirstColumn="0" w:lastRowLastColumn="0"/>
              <w:rPr>
                <w:b/>
                <w:bCs/>
              </w:rPr>
            </w:pPr>
            <w:r w:rsidRPr="00CB6D14">
              <w:rPr>
                <w:b/>
                <w:bCs/>
              </w:rPr>
              <w:t>Connaissance et attitude des unités de production informelles en matière d’environnement</w:t>
            </w:r>
          </w:p>
          <w:p w14:paraId="6A0832BB" w14:textId="77777777" w:rsidR="00CB6D14" w:rsidRDefault="00CB6D14" w:rsidP="00CB6D14">
            <w:pPr>
              <w:pStyle w:val="Paragraphedeliste"/>
              <w:numPr>
                <w:ilvl w:val="0"/>
                <w:numId w:val="15"/>
              </w:numPr>
              <w:cnfStyle w:val="000000000000" w:firstRow="0" w:lastRow="0" w:firstColumn="0" w:lastColumn="0" w:oddVBand="0" w:evenVBand="0" w:oddHBand="0" w:evenHBand="0" w:firstRowFirstColumn="0" w:firstRowLastColumn="0" w:lastRowFirstColumn="0" w:lastRowLastColumn="0"/>
            </w:pPr>
            <w:r>
              <w:t>C</w:t>
            </w:r>
            <w:r w:rsidRPr="00CB6D14">
              <w:t xml:space="preserve">onnaissance de l’existence des problèmes environnementaux ; </w:t>
            </w:r>
          </w:p>
          <w:p w14:paraId="34C23977" w14:textId="77777777" w:rsidR="00CB6D14" w:rsidRDefault="00CB6D14" w:rsidP="00CB6D14">
            <w:pPr>
              <w:pStyle w:val="Paragraphedeliste"/>
              <w:numPr>
                <w:ilvl w:val="0"/>
                <w:numId w:val="15"/>
              </w:numPr>
              <w:cnfStyle w:val="000000000000" w:firstRow="0" w:lastRow="0" w:firstColumn="0" w:lastColumn="0" w:oddVBand="0" w:evenVBand="0" w:oddHBand="0" w:evenHBand="0" w:firstRowFirstColumn="0" w:firstRowLastColumn="0" w:lastRowFirstColumn="0" w:lastRowLastColumn="0"/>
            </w:pPr>
            <w:r>
              <w:t>C</w:t>
            </w:r>
            <w:r w:rsidRPr="00CB6D14">
              <w:t xml:space="preserve">onnaissance de la contribution des activités des UPI aux problèmes de l’environnement ; </w:t>
            </w:r>
          </w:p>
          <w:p w14:paraId="5E58A34F" w14:textId="77777777" w:rsidR="00CB6D14" w:rsidRDefault="00CB6D14" w:rsidP="00CB6D14">
            <w:pPr>
              <w:pStyle w:val="Paragraphedeliste"/>
              <w:numPr>
                <w:ilvl w:val="0"/>
                <w:numId w:val="15"/>
              </w:numPr>
              <w:cnfStyle w:val="000000000000" w:firstRow="0" w:lastRow="0" w:firstColumn="0" w:lastColumn="0" w:oddVBand="0" w:evenVBand="0" w:oddHBand="0" w:evenHBand="0" w:firstRowFirstColumn="0" w:firstRowLastColumn="0" w:lastRowFirstColumn="0" w:lastRowLastColumn="0"/>
            </w:pPr>
            <w:r>
              <w:t>I</w:t>
            </w:r>
            <w:r w:rsidRPr="00CB6D14">
              <w:t>mpact des campagnes de sensibilisation pour la lutte contre les problèmes de l’environnement</w:t>
            </w:r>
            <w:r>
              <w:t> ;</w:t>
            </w:r>
          </w:p>
          <w:p w14:paraId="0E1C5BF5" w14:textId="097DF541" w:rsidR="00CB6D14" w:rsidRPr="00CB6D14" w:rsidRDefault="00CB6D14" w:rsidP="00CB6D14">
            <w:pPr>
              <w:pStyle w:val="Paragraphedeliste"/>
              <w:numPr>
                <w:ilvl w:val="0"/>
                <w:numId w:val="15"/>
              </w:numPr>
              <w:cnfStyle w:val="000000000000" w:firstRow="0" w:lastRow="0" w:firstColumn="0" w:lastColumn="0" w:oddVBand="0" w:evenVBand="0" w:oddHBand="0" w:evenHBand="0" w:firstRowFirstColumn="0" w:firstRowLastColumn="0" w:lastRowFirstColumn="0" w:lastRowLastColumn="0"/>
            </w:pPr>
            <w:r>
              <w:t>C</w:t>
            </w:r>
            <w:r w:rsidRPr="00CB6D14">
              <w:t>onnaissance des différentes solutions proposées pour faire aux problèmes de l’environnement.</w:t>
            </w:r>
          </w:p>
          <w:p w14:paraId="0697DA75" w14:textId="1164A884" w:rsidR="00245BB8" w:rsidRPr="00293939" w:rsidRDefault="00245BB8" w:rsidP="00293939">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r>
      <w:tr w:rsidR="00245BB8" w:rsidRPr="000D614F" w14:paraId="05881DFE" w14:textId="77777777" w:rsidTr="00276C23">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235" w:type="pct"/>
            <w:vAlign w:val="center"/>
          </w:tcPr>
          <w:p w14:paraId="375C7A10" w14:textId="28334903" w:rsidR="00245BB8" w:rsidRPr="000D614F" w:rsidRDefault="00840348" w:rsidP="00245BB8">
            <w:pPr>
              <w:rPr>
                <w:b w:val="0"/>
                <w:sz w:val="24"/>
                <w:szCs w:val="24"/>
              </w:rPr>
            </w:pPr>
            <w:r>
              <w:rPr>
                <w:b w:val="0"/>
                <w:sz w:val="24"/>
                <w:szCs w:val="24"/>
              </w:rPr>
              <w:lastRenderedPageBreak/>
              <w:t>P</w:t>
            </w:r>
          </w:p>
        </w:tc>
        <w:tc>
          <w:tcPr>
            <w:tcW w:w="923" w:type="pct"/>
            <w:vAlign w:val="center"/>
          </w:tcPr>
          <w:p w14:paraId="71C3897B" w14:textId="2E314BE6" w:rsidR="00245BB8" w:rsidRPr="000D614F" w:rsidRDefault="00245BB8" w:rsidP="00276C23">
            <w:pPr>
              <w:cnfStyle w:val="000000100000" w:firstRow="0" w:lastRow="0" w:firstColumn="0" w:lastColumn="0" w:oddVBand="0" w:evenVBand="0" w:oddHBand="1" w:evenHBand="0" w:firstRowFirstColumn="0" w:firstRowLastColumn="0" w:lastRowFirstColumn="0" w:lastRowLastColumn="0"/>
              <w:rPr>
                <w:bCs/>
                <w:sz w:val="24"/>
                <w:szCs w:val="24"/>
              </w:rPr>
            </w:pPr>
            <w:r w:rsidRPr="000D614F">
              <w:rPr>
                <w:sz w:val="24"/>
                <w:szCs w:val="24"/>
              </w:rPr>
              <w:t>Niveau de désagrégation géographique et thématique</w:t>
            </w:r>
          </w:p>
        </w:tc>
        <w:tc>
          <w:tcPr>
            <w:tcW w:w="3842" w:type="pct"/>
            <w:vAlign w:val="center"/>
          </w:tcPr>
          <w:p w14:paraId="757E336F" w14:textId="35C4C698" w:rsidR="00245BB8" w:rsidRPr="000D614F" w:rsidRDefault="00471AB5" w:rsidP="0084034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National, </w:t>
            </w:r>
            <w:r w:rsidR="00794B68">
              <w:rPr>
                <w:sz w:val="24"/>
                <w:szCs w:val="24"/>
              </w:rPr>
              <w:t>Région, Milieu de résidence</w:t>
            </w:r>
          </w:p>
        </w:tc>
      </w:tr>
      <w:tr w:rsidR="00245BB8" w:rsidRPr="000D614F" w14:paraId="1BD021E5" w14:textId="77777777" w:rsidTr="00276C23">
        <w:trPr>
          <w:trHeight w:val="196"/>
        </w:trPr>
        <w:tc>
          <w:tcPr>
            <w:cnfStyle w:val="001000000000" w:firstRow="0" w:lastRow="0" w:firstColumn="1" w:lastColumn="0" w:oddVBand="0" w:evenVBand="0" w:oddHBand="0" w:evenHBand="0" w:firstRowFirstColumn="0" w:firstRowLastColumn="0" w:lastRowFirstColumn="0" w:lastRowLastColumn="0"/>
            <w:tcW w:w="235" w:type="pct"/>
            <w:vAlign w:val="center"/>
          </w:tcPr>
          <w:p w14:paraId="25D137EB" w14:textId="6C98335A" w:rsidR="00245BB8" w:rsidRPr="000D614F" w:rsidRDefault="00245BB8" w:rsidP="00245BB8">
            <w:pPr>
              <w:rPr>
                <w:sz w:val="24"/>
                <w:szCs w:val="24"/>
              </w:rPr>
            </w:pPr>
            <w:r w:rsidRPr="000D614F">
              <w:rPr>
                <w:b w:val="0"/>
                <w:sz w:val="24"/>
                <w:szCs w:val="24"/>
              </w:rPr>
              <w:t>10</w:t>
            </w:r>
          </w:p>
        </w:tc>
        <w:tc>
          <w:tcPr>
            <w:tcW w:w="923" w:type="pct"/>
            <w:vAlign w:val="center"/>
          </w:tcPr>
          <w:p w14:paraId="665B00D2" w14:textId="2EEB6A63" w:rsidR="00245BB8" w:rsidRPr="000D614F" w:rsidRDefault="00245BB8" w:rsidP="00245BB8">
            <w:pPr>
              <w:cnfStyle w:val="000000000000" w:firstRow="0" w:lastRow="0" w:firstColumn="0" w:lastColumn="0" w:oddVBand="0" w:evenVBand="0" w:oddHBand="0" w:evenHBand="0" w:firstRowFirstColumn="0" w:firstRowLastColumn="0" w:lastRowFirstColumn="0" w:lastRowLastColumn="0"/>
              <w:rPr>
                <w:sz w:val="24"/>
                <w:szCs w:val="24"/>
              </w:rPr>
            </w:pPr>
            <w:r w:rsidRPr="000D614F">
              <w:rPr>
                <w:sz w:val="24"/>
                <w:szCs w:val="24"/>
              </w:rPr>
              <w:t>Résultats clés et Modalités d’accès</w:t>
            </w:r>
          </w:p>
        </w:tc>
        <w:tc>
          <w:tcPr>
            <w:tcW w:w="3842" w:type="pct"/>
            <w:vAlign w:val="center"/>
          </w:tcPr>
          <w:p w14:paraId="4C3B58F2" w14:textId="237574AD" w:rsidR="00245BB8" w:rsidRPr="000D614F" w:rsidRDefault="00797EA0" w:rsidP="00797EA0">
            <w:pPr>
              <w:jc w:val="both"/>
              <w:cnfStyle w:val="000000000000" w:firstRow="0" w:lastRow="0" w:firstColumn="0" w:lastColumn="0" w:oddVBand="0" w:evenVBand="0" w:oddHBand="0" w:evenHBand="0" w:firstRowFirstColumn="0" w:firstRowLastColumn="0" w:lastRowFirstColumn="0" w:lastRowLastColumn="0"/>
              <w:rPr>
                <w:sz w:val="24"/>
                <w:szCs w:val="24"/>
              </w:rPr>
            </w:pPr>
            <w:r>
              <w:t xml:space="preserve">Rapport sur le site </w:t>
            </w:r>
            <w:hyperlink r:id="rId5" w:history="1">
              <w:r w:rsidR="00245BB8" w:rsidRPr="000D614F">
                <w:rPr>
                  <w:rStyle w:val="Lienhypertexte"/>
                  <w:sz w:val="24"/>
                  <w:szCs w:val="24"/>
                  <w:u w:val="none"/>
                </w:rPr>
                <w:t>www.instat-mali.org</w:t>
              </w:r>
            </w:hyperlink>
            <w:r w:rsidR="00FD43B7">
              <w:rPr>
                <w:rStyle w:val="Lienhypertexte"/>
                <w:sz w:val="24"/>
                <w:szCs w:val="24"/>
                <w:u w:val="none"/>
              </w:rPr>
              <w:t>/fr/publications</w:t>
            </w:r>
            <w:r>
              <w:rPr>
                <w:sz w:val="24"/>
                <w:szCs w:val="24"/>
              </w:rPr>
              <w:t xml:space="preserve"> ou </w:t>
            </w:r>
            <w:r w:rsidR="00245BB8" w:rsidRPr="000D614F">
              <w:rPr>
                <w:sz w:val="24"/>
                <w:szCs w:val="24"/>
              </w:rPr>
              <w:t>demande physique ou électronique à adresser au DG de l’INSTAT.</w:t>
            </w:r>
          </w:p>
        </w:tc>
      </w:tr>
      <w:tr w:rsidR="00245BB8" w:rsidRPr="000D614F" w14:paraId="101E485E" w14:textId="77777777" w:rsidTr="00276C23">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235" w:type="pct"/>
            <w:vAlign w:val="center"/>
          </w:tcPr>
          <w:p w14:paraId="51F345B5" w14:textId="0BF3B334" w:rsidR="00245BB8" w:rsidRPr="000D614F" w:rsidRDefault="00245BB8" w:rsidP="00245BB8">
            <w:pPr>
              <w:rPr>
                <w:b w:val="0"/>
                <w:color w:val="FF0000"/>
                <w:sz w:val="24"/>
                <w:szCs w:val="24"/>
              </w:rPr>
            </w:pPr>
            <w:r w:rsidRPr="000D614F">
              <w:rPr>
                <w:b w:val="0"/>
                <w:sz w:val="24"/>
                <w:szCs w:val="24"/>
              </w:rPr>
              <w:t>11</w:t>
            </w:r>
          </w:p>
        </w:tc>
        <w:tc>
          <w:tcPr>
            <w:tcW w:w="923" w:type="pct"/>
            <w:vAlign w:val="center"/>
          </w:tcPr>
          <w:p w14:paraId="7CC5FF93" w14:textId="7E66B304" w:rsidR="00245BB8" w:rsidRPr="000D614F" w:rsidRDefault="00245BB8" w:rsidP="00245BB8">
            <w:pPr>
              <w:cnfStyle w:val="000000100000" w:firstRow="0" w:lastRow="0" w:firstColumn="0" w:lastColumn="0" w:oddVBand="0" w:evenVBand="0" w:oddHBand="1" w:evenHBand="0" w:firstRowFirstColumn="0" w:firstRowLastColumn="0" w:lastRowFirstColumn="0" w:lastRowLastColumn="0"/>
              <w:rPr>
                <w:bCs/>
                <w:sz w:val="24"/>
                <w:szCs w:val="24"/>
              </w:rPr>
            </w:pPr>
            <w:r w:rsidRPr="000D614F">
              <w:rPr>
                <w:bCs/>
                <w:sz w:val="24"/>
                <w:szCs w:val="24"/>
              </w:rPr>
              <w:t xml:space="preserve"> Nature du Support</w:t>
            </w:r>
          </w:p>
        </w:tc>
        <w:tc>
          <w:tcPr>
            <w:tcW w:w="3842" w:type="pct"/>
            <w:vAlign w:val="center"/>
          </w:tcPr>
          <w:p w14:paraId="52EAADE7" w14:textId="7DF669DB" w:rsidR="00245BB8" w:rsidRPr="000D614F" w:rsidRDefault="00245BB8" w:rsidP="00797EA0">
            <w:pPr>
              <w:jc w:val="both"/>
              <w:cnfStyle w:val="000000100000" w:firstRow="0" w:lastRow="0" w:firstColumn="0" w:lastColumn="0" w:oddVBand="0" w:evenVBand="0" w:oddHBand="1" w:evenHBand="0" w:firstRowFirstColumn="0" w:firstRowLastColumn="0" w:lastRowFirstColumn="0" w:lastRowLastColumn="0"/>
              <w:rPr>
                <w:sz w:val="24"/>
                <w:szCs w:val="24"/>
              </w:rPr>
            </w:pPr>
            <w:r w:rsidRPr="000D614F">
              <w:rPr>
                <w:sz w:val="24"/>
                <w:szCs w:val="24"/>
              </w:rPr>
              <w:t>Ve</w:t>
            </w:r>
            <w:r w:rsidR="00797EA0">
              <w:rPr>
                <w:sz w:val="24"/>
                <w:szCs w:val="24"/>
              </w:rPr>
              <w:t>rsion numérique (format SPSS, STATA, PDF) et papier</w:t>
            </w:r>
          </w:p>
        </w:tc>
      </w:tr>
      <w:tr w:rsidR="00245BB8" w:rsidRPr="000D614F" w14:paraId="3E76F1A0" w14:textId="77777777" w:rsidTr="00276C23">
        <w:trPr>
          <w:trHeight w:val="196"/>
        </w:trPr>
        <w:tc>
          <w:tcPr>
            <w:cnfStyle w:val="001000000000" w:firstRow="0" w:lastRow="0" w:firstColumn="1" w:lastColumn="0" w:oddVBand="0" w:evenVBand="0" w:oddHBand="0" w:evenHBand="0" w:firstRowFirstColumn="0" w:firstRowLastColumn="0" w:lastRowFirstColumn="0" w:lastRowLastColumn="0"/>
            <w:tcW w:w="235" w:type="pct"/>
            <w:vAlign w:val="center"/>
          </w:tcPr>
          <w:p w14:paraId="74CB02A1" w14:textId="5A03B32F" w:rsidR="00245BB8" w:rsidRPr="000D614F" w:rsidRDefault="00245BB8" w:rsidP="00245BB8">
            <w:pPr>
              <w:rPr>
                <w:b w:val="0"/>
                <w:sz w:val="24"/>
                <w:szCs w:val="24"/>
              </w:rPr>
            </w:pPr>
            <w:r w:rsidRPr="000D614F">
              <w:rPr>
                <w:b w:val="0"/>
                <w:sz w:val="24"/>
                <w:szCs w:val="24"/>
              </w:rPr>
              <w:t>12</w:t>
            </w:r>
          </w:p>
        </w:tc>
        <w:tc>
          <w:tcPr>
            <w:tcW w:w="923" w:type="pct"/>
            <w:vAlign w:val="center"/>
          </w:tcPr>
          <w:p w14:paraId="2B30DB71" w14:textId="421AB0D2" w:rsidR="00245BB8" w:rsidRPr="000D614F" w:rsidRDefault="00245BB8" w:rsidP="00245BB8">
            <w:pPr>
              <w:cnfStyle w:val="000000000000" w:firstRow="0" w:lastRow="0" w:firstColumn="0" w:lastColumn="0" w:oddVBand="0" w:evenVBand="0" w:oddHBand="0" w:evenHBand="0" w:firstRowFirstColumn="0" w:firstRowLastColumn="0" w:lastRowFirstColumn="0" w:lastRowLastColumn="0"/>
              <w:rPr>
                <w:bCs/>
                <w:sz w:val="24"/>
                <w:szCs w:val="24"/>
              </w:rPr>
            </w:pPr>
            <w:r w:rsidRPr="000D614F">
              <w:rPr>
                <w:bCs/>
                <w:sz w:val="24"/>
                <w:szCs w:val="24"/>
              </w:rPr>
              <w:t>Difficultés rencontrées</w:t>
            </w:r>
          </w:p>
        </w:tc>
        <w:tc>
          <w:tcPr>
            <w:tcW w:w="3842" w:type="pct"/>
            <w:vAlign w:val="center"/>
          </w:tcPr>
          <w:p w14:paraId="0C5F48C2" w14:textId="41DF895E" w:rsidR="00245BB8" w:rsidRPr="000D614F" w:rsidRDefault="00797EA0" w:rsidP="00245BB8">
            <w:pPr>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L’insécurité qui rend difficile l’accès à certaines</w:t>
            </w:r>
            <w:r w:rsidR="00FD43B7">
              <w:rPr>
                <w:sz w:val="24"/>
                <w:szCs w:val="24"/>
              </w:rPr>
              <w:t xml:space="preserve"> zones de collecte des données et </w:t>
            </w:r>
            <w:r>
              <w:rPr>
                <w:sz w:val="24"/>
                <w:szCs w:val="24"/>
              </w:rPr>
              <w:t>le coût élevé de l’opération</w:t>
            </w:r>
          </w:p>
        </w:tc>
      </w:tr>
      <w:tr w:rsidR="00245BB8" w:rsidRPr="000D614F" w14:paraId="5678B7B9" w14:textId="77777777" w:rsidTr="00276C23">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235" w:type="pct"/>
            <w:vAlign w:val="center"/>
          </w:tcPr>
          <w:p w14:paraId="742054F9" w14:textId="5E807171" w:rsidR="00245BB8" w:rsidRPr="000D614F" w:rsidRDefault="00245BB8" w:rsidP="00245BB8">
            <w:pPr>
              <w:rPr>
                <w:b w:val="0"/>
                <w:sz w:val="24"/>
                <w:szCs w:val="24"/>
              </w:rPr>
            </w:pPr>
            <w:r w:rsidRPr="000D614F">
              <w:rPr>
                <w:b w:val="0"/>
                <w:sz w:val="24"/>
                <w:szCs w:val="24"/>
              </w:rPr>
              <w:t>13</w:t>
            </w:r>
          </w:p>
        </w:tc>
        <w:tc>
          <w:tcPr>
            <w:tcW w:w="923" w:type="pct"/>
            <w:vAlign w:val="center"/>
          </w:tcPr>
          <w:p w14:paraId="1768CA19" w14:textId="6ABF7BA8" w:rsidR="00245BB8" w:rsidRPr="000D614F" w:rsidRDefault="00FD43B7" w:rsidP="00245BB8">
            <w:pPr>
              <w:cnfStyle w:val="000000100000" w:firstRow="0" w:lastRow="0" w:firstColumn="0" w:lastColumn="0" w:oddVBand="0" w:evenVBand="0" w:oddHBand="1" w:evenHBand="0" w:firstRowFirstColumn="0" w:firstRowLastColumn="0" w:lastRowFirstColumn="0" w:lastRowLastColumn="0"/>
              <w:rPr>
                <w:bCs/>
                <w:sz w:val="24"/>
                <w:szCs w:val="24"/>
              </w:rPr>
            </w:pPr>
            <w:r>
              <w:rPr>
                <w:bCs/>
                <w:sz w:val="24"/>
                <w:szCs w:val="24"/>
              </w:rPr>
              <w:t>Défis/</w:t>
            </w:r>
            <w:r w:rsidR="00245BB8" w:rsidRPr="000D614F">
              <w:rPr>
                <w:bCs/>
                <w:sz w:val="24"/>
                <w:szCs w:val="24"/>
              </w:rPr>
              <w:t>Perspectives</w:t>
            </w:r>
          </w:p>
        </w:tc>
        <w:tc>
          <w:tcPr>
            <w:tcW w:w="3842" w:type="pct"/>
            <w:vAlign w:val="center"/>
          </w:tcPr>
          <w:p w14:paraId="2A1DDB74" w14:textId="4AD31DC4" w:rsidR="00245BB8" w:rsidRPr="000D614F" w:rsidRDefault="00FD43B7" w:rsidP="00245BB8">
            <w:pPr>
              <w:jc w:val="both"/>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Valorisation des données de cette enquête avec les analyses approfondies. </w:t>
            </w:r>
          </w:p>
        </w:tc>
      </w:tr>
      <w:tr w:rsidR="00245BB8" w:rsidRPr="000D614F" w14:paraId="1004CCCA" w14:textId="77777777" w:rsidTr="00276C23">
        <w:trPr>
          <w:trHeight w:val="50"/>
        </w:trPr>
        <w:tc>
          <w:tcPr>
            <w:cnfStyle w:val="001000000000" w:firstRow="0" w:lastRow="0" w:firstColumn="1" w:lastColumn="0" w:oddVBand="0" w:evenVBand="0" w:oddHBand="0" w:evenHBand="0" w:firstRowFirstColumn="0" w:firstRowLastColumn="0" w:lastRowFirstColumn="0" w:lastRowLastColumn="0"/>
            <w:tcW w:w="235" w:type="pct"/>
            <w:vAlign w:val="center"/>
          </w:tcPr>
          <w:p w14:paraId="702D1217" w14:textId="358082CE" w:rsidR="00245BB8" w:rsidRPr="000D614F" w:rsidRDefault="00245BB8" w:rsidP="00245BB8">
            <w:pPr>
              <w:rPr>
                <w:b w:val="0"/>
                <w:sz w:val="24"/>
                <w:szCs w:val="24"/>
              </w:rPr>
            </w:pPr>
            <w:r w:rsidRPr="000D614F">
              <w:rPr>
                <w:b w:val="0"/>
                <w:sz w:val="24"/>
                <w:szCs w:val="24"/>
              </w:rPr>
              <w:t>14</w:t>
            </w:r>
          </w:p>
        </w:tc>
        <w:tc>
          <w:tcPr>
            <w:tcW w:w="923" w:type="pct"/>
            <w:vAlign w:val="center"/>
          </w:tcPr>
          <w:p w14:paraId="0C1BED0D" w14:textId="5A8F8AAA" w:rsidR="00245BB8" w:rsidRPr="000D614F" w:rsidRDefault="00245BB8" w:rsidP="00245BB8">
            <w:pPr>
              <w:cnfStyle w:val="000000000000" w:firstRow="0" w:lastRow="0" w:firstColumn="0" w:lastColumn="0" w:oddVBand="0" w:evenVBand="0" w:oddHBand="0" w:evenHBand="0" w:firstRowFirstColumn="0" w:firstRowLastColumn="0" w:lastRowFirstColumn="0" w:lastRowLastColumn="0"/>
              <w:rPr>
                <w:bCs/>
                <w:sz w:val="24"/>
                <w:szCs w:val="24"/>
              </w:rPr>
            </w:pPr>
            <w:r w:rsidRPr="000D614F">
              <w:rPr>
                <w:bCs/>
                <w:sz w:val="24"/>
                <w:szCs w:val="24"/>
              </w:rPr>
              <w:t>Recommandations</w:t>
            </w:r>
          </w:p>
        </w:tc>
        <w:tc>
          <w:tcPr>
            <w:tcW w:w="3842" w:type="pct"/>
            <w:vAlign w:val="center"/>
          </w:tcPr>
          <w:p w14:paraId="2661C665" w14:textId="606FC268" w:rsidR="00245BB8" w:rsidRPr="000D614F" w:rsidRDefault="00FD43B7" w:rsidP="00245BB8">
            <w:pPr>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Inviter le monde universitaire à utiliser les données de cette enquête dans le cadre de leur recherche. </w:t>
            </w:r>
          </w:p>
        </w:tc>
      </w:tr>
      <w:tr w:rsidR="00245BB8" w:rsidRPr="000D614F" w14:paraId="77FF330D" w14:textId="77777777" w:rsidTr="00276C23">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235" w:type="pct"/>
            <w:vAlign w:val="center"/>
          </w:tcPr>
          <w:p w14:paraId="2331086C" w14:textId="53BABC34" w:rsidR="00245BB8" w:rsidRPr="000D614F" w:rsidRDefault="00245BB8" w:rsidP="00245BB8">
            <w:pPr>
              <w:rPr>
                <w:b w:val="0"/>
                <w:sz w:val="24"/>
                <w:szCs w:val="24"/>
              </w:rPr>
            </w:pPr>
            <w:r w:rsidRPr="000D614F">
              <w:rPr>
                <w:b w:val="0"/>
                <w:sz w:val="24"/>
                <w:szCs w:val="24"/>
              </w:rPr>
              <w:t>15</w:t>
            </w:r>
          </w:p>
        </w:tc>
        <w:tc>
          <w:tcPr>
            <w:tcW w:w="923" w:type="pct"/>
            <w:vAlign w:val="center"/>
          </w:tcPr>
          <w:p w14:paraId="2B1CE310" w14:textId="78D42FA0" w:rsidR="00245BB8" w:rsidRPr="000D614F" w:rsidRDefault="00245BB8" w:rsidP="00245BB8">
            <w:pPr>
              <w:cnfStyle w:val="000000100000" w:firstRow="0" w:lastRow="0" w:firstColumn="0" w:lastColumn="0" w:oddVBand="0" w:evenVBand="0" w:oddHBand="1" w:evenHBand="0" w:firstRowFirstColumn="0" w:firstRowLastColumn="0" w:lastRowFirstColumn="0" w:lastRowLastColumn="0"/>
              <w:rPr>
                <w:bCs/>
                <w:sz w:val="24"/>
                <w:szCs w:val="24"/>
              </w:rPr>
            </w:pPr>
            <w:r w:rsidRPr="000D614F">
              <w:rPr>
                <w:sz w:val="24"/>
                <w:szCs w:val="24"/>
              </w:rPr>
              <w:t>Autres Remarques/observations</w:t>
            </w:r>
          </w:p>
        </w:tc>
        <w:tc>
          <w:tcPr>
            <w:tcW w:w="3842" w:type="pct"/>
            <w:vAlign w:val="center"/>
          </w:tcPr>
          <w:p w14:paraId="3C46823D" w14:textId="0C887BCF" w:rsidR="00245BB8" w:rsidRPr="000D614F" w:rsidRDefault="00245BB8" w:rsidP="00245BB8">
            <w:pPr>
              <w:jc w:val="both"/>
              <w:cnfStyle w:val="000000100000" w:firstRow="0" w:lastRow="0" w:firstColumn="0" w:lastColumn="0" w:oddVBand="0" w:evenVBand="0" w:oddHBand="1" w:evenHBand="0" w:firstRowFirstColumn="0" w:firstRowLastColumn="0" w:lastRowFirstColumn="0" w:lastRowLastColumn="0"/>
              <w:rPr>
                <w:sz w:val="24"/>
                <w:szCs w:val="24"/>
              </w:rPr>
            </w:pPr>
          </w:p>
        </w:tc>
      </w:tr>
      <w:tr w:rsidR="00B61243" w:rsidRPr="000D614F" w14:paraId="39D10889" w14:textId="77777777" w:rsidTr="00276C23">
        <w:trPr>
          <w:trHeight w:val="45"/>
        </w:trPr>
        <w:tc>
          <w:tcPr>
            <w:cnfStyle w:val="001000000000" w:firstRow="0" w:lastRow="0" w:firstColumn="1" w:lastColumn="0" w:oddVBand="0" w:evenVBand="0" w:oddHBand="0" w:evenHBand="0" w:firstRowFirstColumn="0" w:firstRowLastColumn="0" w:lastRowFirstColumn="0" w:lastRowLastColumn="0"/>
            <w:tcW w:w="235" w:type="pct"/>
            <w:vAlign w:val="center"/>
          </w:tcPr>
          <w:p w14:paraId="53D3EA72" w14:textId="0A5B909D" w:rsidR="00B61243" w:rsidRPr="000D614F" w:rsidRDefault="00B61243" w:rsidP="00B61243">
            <w:pPr>
              <w:rPr>
                <w:b w:val="0"/>
                <w:sz w:val="24"/>
                <w:szCs w:val="24"/>
              </w:rPr>
            </w:pPr>
            <w:r w:rsidRPr="000D614F">
              <w:rPr>
                <w:b w:val="0"/>
                <w:sz w:val="24"/>
                <w:szCs w:val="24"/>
              </w:rPr>
              <w:t>1</w:t>
            </w:r>
            <w:r>
              <w:rPr>
                <w:b w:val="0"/>
                <w:sz w:val="24"/>
                <w:szCs w:val="24"/>
              </w:rPr>
              <w:t>6</w:t>
            </w:r>
          </w:p>
        </w:tc>
        <w:tc>
          <w:tcPr>
            <w:tcW w:w="923" w:type="pct"/>
            <w:vAlign w:val="center"/>
          </w:tcPr>
          <w:p w14:paraId="03D5EF75" w14:textId="681B2787" w:rsidR="00B61243" w:rsidRPr="000D614F" w:rsidRDefault="00B61243" w:rsidP="00B61243">
            <w:pPr>
              <w:cnfStyle w:val="000000000000" w:firstRow="0" w:lastRow="0" w:firstColumn="0" w:lastColumn="0" w:oddVBand="0" w:evenVBand="0" w:oddHBand="0" w:evenHBand="0" w:firstRowFirstColumn="0" w:firstRowLastColumn="0" w:lastRowFirstColumn="0" w:lastRowLastColumn="0"/>
              <w:rPr>
                <w:bCs/>
                <w:sz w:val="24"/>
                <w:szCs w:val="24"/>
              </w:rPr>
            </w:pPr>
            <w:r w:rsidRPr="000D614F">
              <w:rPr>
                <w:bCs/>
                <w:sz w:val="24"/>
                <w:szCs w:val="24"/>
              </w:rPr>
              <w:t>Annexes optionnelles pour les bases de données/sites</w:t>
            </w:r>
          </w:p>
        </w:tc>
        <w:tc>
          <w:tcPr>
            <w:tcW w:w="3842" w:type="pct"/>
            <w:vAlign w:val="center"/>
          </w:tcPr>
          <w:p w14:paraId="41501F64" w14:textId="34A10165" w:rsidR="00B61243" w:rsidRPr="000D614F" w:rsidRDefault="00B61243" w:rsidP="00B61243">
            <w:pPr>
              <w:jc w:val="both"/>
              <w:cnfStyle w:val="000000000000" w:firstRow="0" w:lastRow="0" w:firstColumn="0" w:lastColumn="0" w:oddVBand="0" w:evenVBand="0" w:oddHBand="0" w:evenHBand="0" w:firstRowFirstColumn="0" w:firstRowLastColumn="0" w:lastRowFirstColumn="0" w:lastRowLastColumn="0"/>
              <w:rPr>
                <w:sz w:val="24"/>
                <w:szCs w:val="24"/>
              </w:rPr>
            </w:pPr>
          </w:p>
        </w:tc>
      </w:tr>
    </w:tbl>
    <w:p w14:paraId="634FE917" w14:textId="443B19AB" w:rsidR="00A935C5" w:rsidRPr="000D614F" w:rsidRDefault="00A935C5" w:rsidP="002F6D1B">
      <w:pPr>
        <w:jc w:val="both"/>
        <w:rPr>
          <w:sz w:val="24"/>
          <w:szCs w:val="24"/>
        </w:rPr>
      </w:pPr>
    </w:p>
    <w:sectPr w:rsidR="00A935C5" w:rsidRPr="000D61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A2AD6"/>
    <w:multiLevelType w:val="hybridMultilevel"/>
    <w:tmpl w:val="1F54522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E10B2C"/>
    <w:multiLevelType w:val="hybridMultilevel"/>
    <w:tmpl w:val="7D5229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5C446E4"/>
    <w:multiLevelType w:val="hybridMultilevel"/>
    <w:tmpl w:val="B0EAB3A6"/>
    <w:lvl w:ilvl="0" w:tplc="6784D0F2">
      <w:start w:val="1"/>
      <w:numFmt w:val="bullet"/>
      <w:lvlText w:val=""/>
      <w:lvlJc w:val="left"/>
      <w:pPr>
        <w:tabs>
          <w:tab w:val="num" w:pos="720"/>
        </w:tabs>
        <w:ind w:left="720" w:hanging="360"/>
      </w:pPr>
      <w:rPr>
        <w:rFonts w:ascii="Wingdings" w:hAnsi="Wingdings" w:hint="default"/>
      </w:rPr>
    </w:lvl>
    <w:lvl w:ilvl="1" w:tplc="8576735A" w:tentative="1">
      <w:start w:val="1"/>
      <w:numFmt w:val="bullet"/>
      <w:lvlText w:val=""/>
      <w:lvlJc w:val="left"/>
      <w:pPr>
        <w:tabs>
          <w:tab w:val="num" w:pos="1440"/>
        </w:tabs>
        <w:ind w:left="1440" w:hanging="360"/>
      </w:pPr>
      <w:rPr>
        <w:rFonts w:ascii="Wingdings" w:hAnsi="Wingdings" w:hint="default"/>
      </w:rPr>
    </w:lvl>
    <w:lvl w:ilvl="2" w:tplc="AC0A9854">
      <w:start w:val="1"/>
      <w:numFmt w:val="bullet"/>
      <w:lvlText w:val=""/>
      <w:lvlJc w:val="left"/>
      <w:pPr>
        <w:tabs>
          <w:tab w:val="num" w:pos="2160"/>
        </w:tabs>
        <w:ind w:left="2160" w:hanging="360"/>
      </w:pPr>
      <w:rPr>
        <w:rFonts w:ascii="Wingdings" w:hAnsi="Wingdings" w:hint="default"/>
      </w:rPr>
    </w:lvl>
    <w:lvl w:ilvl="3" w:tplc="557A9ABE">
      <w:start w:val="1"/>
      <w:numFmt w:val="decimal"/>
      <w:lvlText w:val="%4."/>
      <w:lvlJc w:val="left"/>
      <w:pPr>
        <w:tabs>
          <w:tab w:val="num" w:pos="2880"/>
        </w:tabs>
        <w:ind w:left="2880" w:hanging="360"/>
      </w:pPr>
    </w:lvl>
    <w:lvl w:ilvl="4" w:tplc="1C02F144" w:tentative="1">
      <w:start w:val="1"/>
      <w:numFmt w:val="bullet"/>
      <w:lvlText w:val=""/>
      <w:lvlJc w:val="left"/>
      <w:pPr>
        <w:tabs>
          <w:tab w:val="num" w:pos="3600"/>
        </w:tabs>
        <w:ind w:left="3600" w:hanging="360"/>
      </w:pPr>
      <w:rPr>
        <w:rFonts w:ascii="Wingdings" w:hAnsi="Wingdings" w:hint="default"/>
      </w:rPr>
    </w:lvl>
    <w:lvl w:ilvl="5" w:tplc="4558D064" w:tentative="1">
      <w:start w:val="1"/>
      <w:numFmt w:val="bullet"/>
      <w:lvlText w:val=""/>
      <w:lvlJc w:val="left"/>
      <w:pPr>
        <w:tabs>
          <w:tab w:val="num" w:pos="4320"/>
        </w:tabs>
        <w:ind w:left="4320" w:hanging="360"/>
      </w:pPr>
      <w:rPr>
        <w:rFonts w:ascii="Wingdings" w:hAnsi="Wingdings" w:hint="default"/>
      </w:rPr>
    </w:lvl>
    <w:lvl w:ilvl="6" w:tplc="238071E2" w:tentative="1">
      <w:start w:val="1"/>
      <w:numFmt w:val="bullet"/>
      <w:lvlText w:val=""/>
      <w:lvlJc w:val="left"/>
      <w:pPr>
        <w:tabs>
          <w:tab w:val="num" w:pos="5040"/>
        </w:tabs>
        <w:ind w:left="5040" w:hanging="360"/>
      </w:pPr>
      <w:rPr>
        <w:rFonts w:ascii="Wingdings" w:hAnsi="Wingdings" w:hint="default"/>
      </w:rPr>
    </w:lvl>
    <w:lvl w:ilvl="7" w:tplc="5EF68C6A" w:tentative="1">
      <w:start w:val="1"/>
      <w:numFmt w:val="bullet"/>
      <w:lvlText w:val=""/>
      <w:lvlJc w:val="left"/>
      <w:pPr>
        <w:tabs>
          <w:tab w:val="num" w:pos="5760"/>
        </w:tabs>
        <w:ind w:left="5760" w:hanging="360"/>
      </w:pPr>
      <w:rPr>
        <w:rFonts w:ascii="Wingdings" w:hAnsi="Wingdings" w:hint="default"/>
      </w:rPr>
    </w:lvl>
    <w:lvl w:ilvl="8" w:tplc="4B36EE5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3F57B7"/>
    <w:multiLevelType w:val="hybridMultilevel"/>
    <w:tmpl w:val="9E80FAD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EBB1998"/>
    <w:multiLevelType w:val="hybridMultilevel"/>
    <w:tmpl w:val="0AFA8EB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55276E2"/>
    <w:multiLevelType w:val="hybridMultilevel"/>
    <w:tmpl w:val="006A1E1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51512A7"/>
    <w:multiLevelType w:val="hybridMultilevel"/>
    <w:tmpl w:val="D0C8385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47B6144"/>
    <w:multiLevelType w:val="hybridMultilevel"/>
    <w:tmpl w:val="55A8819C"/>
    <w:lvl w:ilvl="0" w:tplc="B6B85068">
      <w:start w:val="1"/>
      <w:numFmt w:val="bullet"/>
      <w:lvlText w:val=""/>
      <w:lvlJc w:val="left"/>
      <w:pPr>
        <w:tabs>
          <w:tab w:val="num" w:pos="720"/>
        </w:tabs>
        <w:ind w:left="720" w:hanging="360"/>
      </w:pPr>
      <w:rPr>
        <w:rFonts w:ascii="Wingdings" w:hAnsi="Wingdings" w:hint="default"/>
      </w:rPr>
    </w:lvl>
    <w:lvl w:ilvl="1" w:tplc="FD5EAA24" w:tentative="1">
      <w:start w:val="1"/>
      <w:numFmt w:val="bullet"/>
      <w:lvlText w:val=""/>
      <w:lvlJc w:val="left"/>
      <w:pPr>
        <w:tabs>
          <w:tab w:val="num" w:pos="1440"/>
        </w:tabs>
        <w:ind w:left="1440" w:hanging="360"/>
      </w:pPr>
      <w:rPr>
        <w:rFonts w:ascii="Wingdings" w:hAnsi="Wingdings" w:hint="default"/>
      </w:rPr>
    </w:lvl>
    <w:lvl w:ilvl="2" w:tplc="C6124C8A" w:tentative="1">
      <w:start w:val="1"/>
      <w:numFmt w:val="bullet"/>
      <w:lvlText w:val=""/>
      <w:lvlJc w:val="left"/>
      <w:pPr>
        <w:tabs>
          <w:tab w:val="num" w:pos="2160"/>
        </w:tabs>
        <w:ind w:left="2160" w:hanging="360"/>
      </w:pPr>
      <w:rPr>
        <w:rFonts w:ascii="Wingdings" w:hAnsi="Wingdings" w:hint="default"/>
      </w:rPr>
    </w:lvl>
    <w:lvl w:ilvl="3" w:tplc="DFEE5D86" w:tentative="1">
      <w:start w:val="1"/>
      <w:numFmt w:val="bullet"/>
      <w:lvlText w:val=""/>
      <w:lvlJc w:val="left"/>
      <w:pPr>
        <w:tabs>
          <w:tab w:val="num" w:pos="2880"/>
        </w:tabs>
        <w:ind w:left="2880" w:hanging="360"/>
      </w:pPr>
      <w:rPr>
        <w:rFonts w:ascii="Wingdings" w:hAnsi="Wingdings" w:hint="default"/>
      </w:rPr>
    </w:lvl>
    <w:lvl w:ilvl="4" w:tplc="32AC3C12" w:tentative="1">
      <w:start w:val="1"/>
      <w:numFmt w:val="bullet"/>
      <w:lvlText w:val=""/>
      <w:lvlJc w:val="left"/>
      <w:pPr>
        <w:tabs>
          <w:tab w:val="num" w:pos="3600"/>
        </w:tabs>
        <w:ind w:left="3600" w:hanging="360"/>
      </w:pPr>
      <w:rPr>
        <w:rFonts w:ascii="Wingdings" w:hAnsi="Wingdings" w:hint="default"/>
      </w:rPr>
    </w:lvl>
    <w:lvl w:ilvl="5" w:tplc="DE5E7D42" w:tentative="1">
      <w:start w:val="1"/>
      <w:numFmt w:val="bullet"/>
      <w:lvlText w:val=""/>
      <w:lvlJc w:val="left"/>
      <w:pPr>
        <w:tabs>
          <w:tab w:val="num" w:pos="4320"/>
        </w:tabs>
        <w:ind w:left="4320" w:hanging="360"/>
      </w:pPr>
      <w:rPr>
        <w:rFonts w:ascii="Wingdings" w:hAnsi="Wingdings" w:hint="default"/>
      </w:rPr>
    </w:lvl>
    <w:lvl w:ilvl="6" w:tplc="B860C984" w:tentative="1">
      <w:start w:val="1"/>
      <w:numFmt w:val="bullet"/>
      <w:lvlText w:val=""/>
      <w:lvlJc w:val="left"/>
      <w:pPr>
        <w:tabs>
          <w:tab w:val="num" w:pos="5040"/>
        </w:tabs>
        <w:ind w:left="5040" w:hanging="360"/>
      </w:pPr>
      <w:rPr>
        <w:rFonts w:ascii="Wingdings" w:hAnsi="Wingdings" w:hint="default"/>
      </w:rPr>
    </w:lvl>
    <w:lvl w:ilvl="7" w:tplc="6D0000F0" w:tentative="1">
      <w:start w:val="1"/>
      <w:numFmt w:val="bullet"/>
      <w:lvlText w:val=""/>
      <w:lvlJc w:val="left"/>
      <w:pPr>
        <w:tabs>
          <w:tab w:val="num" w:pos="5760"/>
        </w:tabs>
        <w:ind w:left="5760" w:hanging="360"/>
      </w:pPr>
      <w:rPr>
        <w:rFonts w:ascii="Wingdings" w:hAnsi="Wingdings" w:hint="default"/>
      </w:rPr>
    </w:lvl>
    <w:lvl w:ilvl="8" w:tplc="5520069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505E2A"/>
    <w:multiLevelType w:val="hybridMultilevel"/>
    <w:tmpl w:val="5212D010"/>
    <w:lvl w:ilvl="0" w:tplc="A724B8AA">
      <w:start w:val="1"/>
      <w:numFmt w:val="decimal"/>
      <w:lvlText w:val="%1."/>
      <w:lvlJc w:val="left"/>
      <w:pPr>
        <w:tabs>
          <w:tab w:val="num" w:pos="720"/>
        </w:tabs>
        <w:ind w:left="720" w:hanging="360"/>
      </w:pPr>
    </w:lvl>
    <w:lvl w:ilvl="1" w:tplc="EAB0F094" w:tentative="1">
      <w:start w:val="1"/>
      <w:numFmt w:val="decimal"/>
      <w:lvlText w:val="%2."/>
      <w:lvlJc w:val="left"/>
      <w:pPr>
        <w:tabs>
          <w:tab w:val="num" w:pos="1440"/>
        </w:tabs>
        <w:ind w:left="1440" w:hanging="360"/>
      </w:pPr>
    </w:lvl>
    <w:lvl w:ilvl="2" w:tplc="260879C2" w:tentative="1">
      <w:start w:val="1"/>
      <w:numFmt w:val="decimal"/>
      <w:lvlText w:val="%3."/>
      <w:lvlJc w:val="left"/>
      <w:pPr>
        <w:tabs>
          <w:tab w:val="num" w:pos="2160"/>
        </w:tabs>
        <w:ind w:left="2160" w:hanging="360"/>
      </w:pPr>
    </w:lvl>
    <w:lvl w:ilvl="3" w:tplc="9ACCFC52" w:tentative="1">
      <w:start w:val="1"/>
      <w:numFmt w:val="decimal"/>
      <w:lvlText w:val="%4."/>
      <w:lvlJc w:val="left"/>
      <w:pPr>
        <w:tabs>
          <w:tab w:val="num" w:pos="2880"/>
        </w:tabs>
        <w:ind w:left="2880" w:hanging="360"/>
      </w:pPr>
    </w:lvl>
    <w:lvl w:ilvl="4" w:tplc="792CFF14" w:tentative="1">
      <w:start w:val="1"/>
      <w:numFmt w:val="decimal"/>
      <w:lvlText w:val="%5."/>
      <w:lvlJc w:val="left"/>
      <w:pPr>
        <w:tabs>
          <w:tab w:val="num" w:pos="3600"/>
        </w:tabs>
        <w:ind w:left="3600" w:hanging="360"/>
      </w:pPr>
    </w:lvl>
    <w:lvl w:ilvl="5" w:tplc="58321178" w:tentative="1">
      <w:start w:val="1"/>
      <w:numFmt w:val="decimal"/>
      <w:lvlText w:val="%6."/>
      <w:lvlJc w:val="left"/>
      <w:pPr>
        <w:tabs>
          <w:tab w:val="num" w:pos="4320"/>
        </w:tabs>
        <w:ind w:left="4320" w:hanging="360"/>
      </w:pPr>
    </w:lvl>
    <w:lvl w:ilvl="6" w:tplc="966C21EE" w:tentative="1">
      <w:start w:val="1"/>
      <w:numFmt w:val="decimal"/>
      <w:lvlText w:val="%7."/>
      <w:lvlJc w:val="left"/>
      <w:pPr>
        <w:tabs>
          <w:tab w:val="num" w:pos="5040"/>
        </w:tabs>
        <w:ind w:left="5040" w:hanging="360"/>
      </w:pPr>
    </w:lvl>
    <w:lvl w:ilvl="7" w:tplc="F4F85D52" w:tentative="1">
      <w:start w:val="1"/>
      <w:numFmt w:val="decimal"/>
      <w:lvlText w:val="%8."/>
      <w:lvlJc w:val="left"/>
      <w:pPr>
        <w:tabs>
          <w:tab w:val="num" w:pos="5760"/>
        </w:tabs>
        <w:ind w:left="5760" w:hanging="360"/>
      </w:pPr>
    </w:lvl>
    <w:lvl w:ilvl="8" w:tplc="8E0037CC" w:tentative="1">
      <w:start w:val="1"/>
      <w:numFmt w:val="decimal"/>
      <w:lvlText w:val="%9."/>
      <w:lvlJc w:val="left"/>
      <w:pPr>
        <w:tabs>
          <w:tab w:val="num" w:pos="6480"/>
        </w:tabs>
        <w:ind w:left="6480" w:hanging="360"/>
      </w:pPr>
    </w:lvl>
  </w:abstractNum>
  <w:abstractNum w:abstractNumId="9" w15:restartNumberingAfterBreak="0">
    <w:nsid w:val="62CF62F7"/>
    <w:multiLevelType w:val="hybridMultilevel"/>
    <w:tmpl w:val="F8A8F9A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5343986"/>
    <w:multiLevelType w:val="hybridMultilevel"/>
    <w:tmpl w:val="05A49C6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59C53E7"/>
    <w:multiLevelType w:val="hybridMultilevel"/>
    <w:tmpl w:val="1FE2935A"/>
    <w:lvl w:ilvl="0" w:tplc="74CC42BA">
      <w:start w:val="1"/>
      <w:numFmt w:val="bullet"/>
      <w:lvlText w:val=""/>
      <w:lvlJc w:val="left"/>
      <w:pPr>
        <w:tabs>
          <w:tab w:val="num" w:pos="720"/>
        </w:tabs>
        <w:ind w:left="720" w:hanging="360"/>
      </w:pPr>
      <w:rPr>
        <w:rFonts w:ascii="Wingdings" w:hAnsi="Wingdings" w:hint="default"/>
      </w:rPr>
    </w:lvl>
    <w:lvl w:ilvl="1" w:tplc="5492F2A6" w:tentative="1">
      <w:start w:val="1"/>
      <w:numFmt w:val="bullet"/>
      <w:lvlText w:val=""/>
      <w:lvlJc w:val="left"/>
      <w:pPr>
        <w:tabs>
          <w:tab w:val="num" w:pos="1440"/>
        </w:tabs>
        <w:ind w:left="1440" w:hanging="360"/>
      </w:pPr>
      <w:rPr>
        <w:rFonts w:ascii="Wingdings" w:hAnsi="Wingdings" w:hint="default"/>
      </w:rPr>
    </w:lvl>
    <w:lvl w:ilvl="2" w:tplc="70EA2D74">
      <w:start w:val="1"/>
      <w:numFmt w:val="bullet"/>
      <w:lvlText w:val=""/>
      <w:lvlJc w:val="left"/>
      <w:pPr>
        <w:tabs>
          <w:tab w:val="num" w:pos="2160"/>
        </w:tabs>
        <w:ind w:left="2160" w:hanging="360"/>
      </w:pPr>
      <w:rPr>
        <w:rFonts w:ascii="Wingdings" w:hAnsi="Wingdings" w:hint="default"/>
      </w:rPr>
    </w:lvl>
    <w:lvl w:ilvl="3" w:tplc="14544E00" w:tentative="1">
      <w:start w:val="1"/>
      <w:numFmt w:val="bullet"/>
      <w:lvlText w:val=""/>
      <w:lvlJc w:val="left"/>
      <w:pPr>
        <w:tabs>
          <w:tab w:val="num" w:pos="2880"/>
        </w:tabs>
        <w:ind w:left="2880" w:hanging="360"/>
      </w:pPr>
      <w:rPr>
        <w:rFonts w:ascii="Wingdings" w:hAnsi="Wingdings" w:hint="default"/>
      </w:rPr>
    </w:lvl>
    <w:lvl w:ilvl="4" w:tplc="ABB4C212" w:tentative="1">
      <w:start w:val="1"/>
      <w:numFmt w:val="bullet"/>
      <w:lvlText w:val=""/>
      <w:lvlJc w:val="left"/>
      <w:pPr>
        <w:tabs>
          <w:tab w:val="num" w:pos="3600"/>
        </w:tabs>
        <w:ind w:left="3600" w:hanging="360"/>
      </w:pPr>
      <w:rPr>
        <w:rFonts w:ascii="Wingdings" w:hAnsi="Wingdings" w:hint="default"/>
      </w:rPr>
    </w:lvl>
    <w:lvl w:ilvl="5" w:tplc="E7DEEB50" w:tentative="1">
      <w:start w:val="1"/>
      <w:numFmt w:val="bullet"/>
      <w:lvlText w:val=""/>
      <w:lvlJc w:val="left"/>
      <w:pPr>
        <w:tabs>
          <w:tab w:val="num" w:pos="4320"/>
        </w:tabs>
        <w:ind w:left="4320" w:hanging="360"/>
      </w:pPr>
      <w:rPr>
        <w:rFonts w:ascii="Wingdings" w:hAnsi="Wingdings" w:hint="default"/>
      </w:rPr>
    </w:lvl>
    <w:lvl w:ilvl="6" w:tplc="F89410F2" w:tentative="1">
      <w:start w:val="1"/>
      <w:numFmt w:val="bullet"/>
      <w:lvlText w:val=""/>
      <w:lvlJc w:val="left"/>
      <w:pPr>
        <w:tabs>
          <w:tab w:val="num" w:pos="5040"/>
        </w:tabs>
        <w:ind w:left="5040" w:hanging="360"/>
      </w:pPr>
      <w:rPr>
        <w:rFonts w:ascii="Wingdings" w:hAnsi="Wingdings" w:hint="default"/>
      </w:rPr>
    </w:lvl>
    <w:lvl w:ilvl="7" w:tplc="91E44B94" w:tentative="1">
      <w:start w:val="1"/>
      <w:numFmt w:val="bullet"/>
      <w:lvlText w:val=""/>
      <w:lvlJc w:val="left"/>
      <w:pPr>
        <w:tabs>
          <w:tab w:val="num" w:pos="5760"/>
        </w:tabs>
        <w:ind w:left="5760" w:hanging="360"/>
      </w:pPr>
      <w:rPr>
        <w:rFonts w:ascii="Wingdings" w:hAnsi="Wingdings" w:hint="default"/>
      </w:rPr>
    </w:lvl>
    <w:lvl w:ilvl="8" w:tplc="E1B225A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8E309B4"/>
    <w:multiLevelType w:val="hybridMultilevel"/>
    <w:tmpl w:val="2EACCF0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A38306E"/>
    <w:multiLevelType w:val="hybridMultilevel"/>
    <w:tmpl w:val="7C0441E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C8C143E"/>
    <w:multiLevelType w:val="hybridMultilevel"/>
    <w:tmpl w:val="2E1A0C7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78434432">
    <w:abstractNumId w:val="8"/>
  </w:num>
  <w:num w:numId="2" w16cid:durableId="647318727">
    <w:abstractNumId w:val="11"/>
  </w:num>
  <w:num w:numId="3" w16cid:durableId="468474752">
    <w:abstractNumId w:val="2"/>
  </w:num>
  <w:num w:numId="4" w16cid:durableId="1290817612">
    <w:abstractNumId w:val="0"/>
  </w:num>
  <w:num w:numId="5" w16cid:durableId="296842147">
    <w:abstractNumId w:val="13"/>
  </w:num>
  <w:num w:numId="6" w16cid:durableId="1245994743">
    <w:abstractNumId w:val="7"/>
  </w:num>
  <w:num w:numId="7" w16cid:durableId="681014089">
    <w:abstractNumId w:val="14"/>
  </w:num>
  <w:num w:numId="8" w16cid:durableId="382559230">
    <w:abstractNumId w:val="3"/>
  </w:num>
  <w:num w:numId="9" w16cid:durableId="234779565">
    <w:abstractNumId w:val="10"/>
  </w:num>
  <w:num w:numId="10" w16cid:durableId="1013219015">
    <w:abstractNumId w:val="6"/>
  </w:num>
  <w:num w:numId="11" w16cid:durableId="1887715757">
    <w:abstractNumId w:val="9"/>
  </w:num>
  <w:num w:numId="12" w16cid:durableId="723020169">
    <w:abstractNumId w:val="1"/>
  </w:num>
  <w:num w:numId="13" w16cid:durableId="882794009">
    <w:abstractNumId w:val="5"/>
  </w:num>
  <w:num w:numId="14" w16cid:durableId="759646767">
    <w:abstractNumId w:val="4"/>
  </w:num>
  <w:num w:numId="15" w16cid:durableId="142319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E4E"/>
    <w:rsid w:val="00034BC1"/>
    <w:rsid w:val="00075F5E"/>
    <w:rsid w:val="000D160F"/>
    <w:rsid w:val="000D614F"/>
    <w:rsid w:val="000F0DAE"/>
    <w:rsid w:val="00122497"/>
    <w:rsid w:val="00151423"/>
    <w:rsid w:val="00186B1C"/>
    <w:rsid w:val="00190FC9"/>
    <w:rsid w:val="001F0D48"/>
    <w:rsid w:val="00240673"/>
    <w:rsid w:val="00245BB8"/>
    <w:rsid w:val="00276C23"/>
    <w:rsid w:val="00286609"/>
    <w:rsid w:val="002873F3"/>
    <w:rsid w:val="00293939"/>
    <w:rsid w:val="002A5D16"/>
    <w:rsid w:val="002D0919"/>
    <w:rsid w:val="002F6D1B"/>
    <w:rsid w:val="00310755"/>
    <w:rsid w:val="003465DD"/>
    <w:rsid w:val="003609D4"/>
    <w:rsid w:val="00374E60"/>
    <w:rsid w:val="004202E2"/>
    <w:rsid w:val="004346D2"/>
    <w:rsid w:val="00470CBB"/>
    <w:rsid w:val="00471AB5"/>
    <w:rsid w:val="004A00D6"/>
    <w:rsid w:val="004E314E"/>
    <w:rsid w:val="004E4DA0"/>
    <w:rsid w:val="004F443A"/>
    <w:rsid w:val="005049A4"/>
    <w:rsid w:val="00506CF6"/>
    <w:rsid w:val="005135E0"/>
    <w:rsid w:val="0052760C"/>
    <w:rsid w:val="00551B0D"/>
    <w:rsid w:val="005576A3"/>
    <w:rsid w:val="005946BC"/>
    <w:rsid w:val="005B3C52"/>
    <w:rsid w:val="005C2261"/>
    <w:rsid w:val="00615B92"/>
    <w:rsid w:val="00632BF3"/>
    <w:rsid w:val="00675D16"/>
    <w:rsid w:val="00682895"/>
    <w:rsid w:val="006829F9"/>
    <w:rsid w:val="00690C08"/>
    <w:rsid w:val="00691415"/>
    <w:rsid w:val="00692CBE"/>
    <w:rsid w:val="006D5E9B"/>
    <w:rsid w:val="00720167"/>
    <w:rsid w:val="0075518C"/>
    <w:rsid w:val="00772866"/>
    <w:rsid w:val="00780E60"/>
    <w:rsid w:val="00794B68"/>
    <w:rsid w:val="00797EA0"/>
    <w:rsid w:val="007E5DCF"/>
    <w:rsid w:val="00840348"/>
    <w:rsid w:val="00944EF5"/>
    <w:rsid w:val="009B505A"/>
    <w:rsid w:val="00A33ACD"/>
    <w:rsid w:val="00A55B70"/>
    <w:rsid w:val="00A63550"/>
    <w:rsid w:val="00A935C5"/>
    <w:rsid w:val="00B61243"/>
    <w:rsid w:val="00B82C3E"/>
    <w:rsid w:val="00BA1F57"/>
    <w:rsid w:val="00BA4FF3"/>
    <w:rsid w:val="00BF72A2"/>
    <w:rsid w:val="00C07BB5"/>
    <w:rsid w:val="00C2324D"/>
    <w:rsid w:val="00C65397"/>
    <w:rsid w:val="00C86086"/>
    <w:rsid w:val="00CB6D14"/>
    <w:rsid w:val="00CE117B"/>
    <w:rsid w:val="00CE34EA"/>
    <w:rsid w:val="00D03924"/>
    <w:rsid w:val="00D03EE3"/>
    <w:rsid w:val="00D72000"/>
    <w:rsid w:val="00D94D2B"/>
    <w:rsid w:val="00DA49CB"/>
    <w:rsid w:val="00DB0142"/>
    <w:rsid w:val="00DB1C35"/>
    <w:rsid w:val="00DC3600"/>
    <w:rsid w:val="00DE0239"/>
    <w:rsid w:val="00DF3E42"/>
    <w:rsid w:val="00E04D7C"/>
    <w:rsid w:val="00E22622"/>
    <w:rsid w:val="00E75DAD"/>
    <w:rsid w:val="00EA119B"/>
    <w:rsid w:val="00F21EBA"/>
    <w:rsid w:val="00FB2D76"/>
    <w:rsid w:val="00FC3E4E"/>
    <w:rsid w:val="00FD1BC1"/>
    <w:rsid w:val="00FD43B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23435"/>
  <w15:chartTrackingRefBased/>
  <w15:docId w15:val="{49ADCDF9-A70D-4CF7-BCE9-FEDB7DB1B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C3E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FC3E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FC3E4E"/>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FC3E4E"/>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FC3E4E"/>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FC3E4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C3E4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C3E4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C3E4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C3E4E"/>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FC3E4E"/>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FC3E4E"/>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FC3E4E"/>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FC3E4E"/>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FC3E4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C3E4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C3E4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C3E4E"/>
    <w:rPr>
      <w:rFonts w:eastAsiaTheme="majorEastAsia" w:cstheme="majorBidi"/>
      <w:color w:val="272727" w:themeColor="text1" w:themeTint="D8"/>
    </w:rPr>
  </w:style>
  <w:style w:type="paragraph" w:styleId="Titre">
    <w:name w:val="Title"/>
    <w:basedOn w:val="Normal"/>
    <w:next w:val="Normal"/>
    <w:link w:val="TitreCar"/>
    <w:uiPriority w:val="10"/>
    <w:qFormat/>
    <w:rsid w:val="00FC3E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C3E4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C3E4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C3E4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C3E4E"/>
    <w:pPr>
      <w:spacing w:before="160"/>
      <w:jc w:val="center"/>
    </w:pPr>
    <w:rPr>
      <w:i/>
      <w:iCs/>
      <w:color w:val="404040" w:themeColor="text1" w:themeTint="BF"/>
    </w:rPr>
  </w:style>
  <w:style w:type="character" w:customStyle="1" w:styleId="CitationCar">
    <w:name w:val="Citation Car"/>
    <w:basedOn w:val="Policepardfaut"/>
    <w:link w:val="Citation"/>
    <w:uiPriority w:val="29"/>
    <w:rsid w:val="00FC3E4E"/>
    <w:rPr>
      <w:i/>
      <w:iCs/>
      <w:color w:val="404040" w:themeColor="text1" w:themeTint="BF"/>
    </w:rPr>
  </w:style>
  <w:style w:type="paragraph" w:styleId="Paragraphedeliste">
    <w:name w:val="List Paragraph"/>
    <w:basedOn w:val="Normal"/>
    <w:uiPriority w:val="34"/>
    <w:qFormat/>
    <w:rsid w:val="00FC3E4E"/>
    <w:pPr>
      <w:ind w:left="720"/>
      <w:contextualSpacing/>
    </w:pPr>
  </w:style>
  <w:style w:type="character" w:styleId="Accentuationintense">
    <w:name w:val="Intense Emphasis"/>
    <w:basedOn w:val="Policepardfaut"/>
    <w:uiPriority w:val="21"/>
    <w:qFormat/>
    <w:rsid w:val="00FC3E4E"/>
    <w:rPr>
      <w:i/>
      <w:iCs/>
      <w:color w:val="2F5496" w:themeColor="accent1" w:themeShade="BF"/>
    </w:rPr>
  </w:style>
  <w:style w:type="paragraph" w:styleId="Citationintense">
    <w:name w:val="Intense Quote"/>
    <w:basedOn w:val="Normal"/>
    <w:next w:val="Normal"/>
    <w:link w:val="CitationintenseCar"/>
    <w:uiPriority w:val="30"/>
    <w:qFormat/>
    <w:rsid w:val="00FC3E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FC3E4E"/>
    <w:rPr>
      <w:i/>
      <w:iCs/>
      <w:color w:val="2F5496" w:themeColor="accent1" w:themeShade="BF"/>
    </w:rPr>
  </w:style>
  <w:style w:type="character" w:styleId="Rfrenceintense">
    <w:name w:val="Intense Reference"/>
    <w:basedOn w:val="Policepardfaut"/>
    <w:uiPriority w:val="32"/>
    <w:qFormat/>
    <w:rsid w:val="00FC3E4E"/>
    <w:rPr>
      <w:b/>
      <w:bCs/>
      <w:smallCaps/>
      <w:color w:val="2F5496" w:themeColor="accent1" w:themeShade="BF"/>
      <w:spacing w:val="5"/>
    </w:rPr>
  </w:style>
  <w:style w:type="table" w:customStyle="1" w:styleId="TableauGrille2-Accentuation11">
    <w:name w:val="Tableau Grille 2 - Accentuation 11"/>
    <w:basedOn w:val="TableauNormal"/>
    <w:uiPriority w:val="47"/>
    <w:rsid w:val="00FC3E4E"/>
    <w:pPr>
      <w:spacing w:after="0" w:line="240" w:lineRule="auto"/>
    </w:pPr>
    <w:rPr>
      <w:kern w:val="0"/>
      <w14:ligatures w14:val="non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extedebulles">
    <w:name w:val="Balloon Text"/>
    <w:basedOn w:val="Normal"/>
    <w:link w:val="TextedebullesCar"/>
    <w:uiPriority w:val="99"/>
    <w:semiHidden/>
    <w:unhideWhenUsed/>
    <w:rsid w:val="003465D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465DD"/>
    <w:rPr>
      <w:rFonts w:ascii="Segoe UI" w:hAnsi="Segoe UI" w:cs="Segoe UI"/>
      <w:sz w:val="18"/>
      <w:szCs w:val="18"/>
    </w:rPr>
  </w:style>
  <w:style w:type="character" w:styleId="Lienhypertexte">
    <w:name w:val="Hyperlink"/>
    <w:basedOn w:val="Policepardfaut"/>
    <w:uiPriority w:val="99"/>
    <w:unhideWhenUsed/>
    <w:rsid w:val="00DB1C35"/>
    <w:rPr>
      <w:color w:val="0563C1" w:themeColor="hyperlink"/>
      <w:u w:val="single"/>
    </w:rPr>
  </w:style>
  <w:style w:type="paragraph" w:styleId="Rvision">
    <w:name w:val="Revision"/>
    <w:hidden/>
    <w:uiPriority w:val="99"/>
    <w:semiHidden/>
    <w:rsid w:val="00BA1F57"/>
    <w:pPr>
      <w:spacing w:after="0" w:line="240" w:lineRule="auto"/>
    </w:pPr>
  </w:style>
  <w:style w:type="character" w:styleId="Marquedecommentaire">
    <w:name w:val="annotation reference"/>
    <w:basedOn w:val="Policepardfaut"/>
    <w:uiPriority w:val="99"/>
    <w:semiHidden/>
    <w:unhideWhenUsed/>
    <w:rsid w:val="00BA1F57"/>
    <w:rPr>
      <w:sz w:val="16"/>
      <w:szCs w:val="16"/>
    </w:rPr>
  </w:style>
  <w:style w:type="paragraph" w:styleId="Commentaire">
    <w:name w:val="annotation text"/>
    <w:basedOn w:val="Normal"/>
    <w:link w:val="CommentaireCar"/>
    <w:uiPriority w:val="99"/>
    <w:semiHidden/>
    <w:unhideWhenUsed/>
    <w:rsid w:val="00BA1F57"/>
    <w:pPr>
      <w:spacing w:line="240" w:lineRule="auto"/>
    </w:pPr>
    <w:rPr>
      <w:sz w:val="20"/>
      <w:szCs w:val="20"/>
    </w:rPr>
  </w:style>
  <w:style w:type="character" w:customStyle="1" w:styleId="CommentaireCar">
    <w:name w:val="Commentaire Car"/>
    <w:basedOn w:val="Policepardfaut"/>
    <w:link w:val="Commentaire"/>
    <w:uiPriority w:val="99"/>
    <w:semiHidden/>
    <w:rsid w:val="00BA1F57"/>
    <w:rPr>
      <w:sz w:val="20"/>
      <w:szCs w:val="20"/>
    </w:rPr>
  </w:style>
  <w:style w:type="paragraph" w:styleId="Objetducommentaire">
    <w:name w:val="annotation subject"/>
    <w:basedOn w:val="Commentaire"/>
    <w:next w:val="Commentaire"/>
    <w:link w:val="ObjetducommentaireCar"/>
    <w:uiPriority w:val="99"/>
    <w:semiHidden/>
    <w:unhideWhenUsed/>
    <w:rsid w:val="00BA1F57"/>
    <w:rPr>
      <w:b/>
      <w:bCs/>
    </w:rPr>
  </w:style>
  <w:style w:type="character" w:customStyle="1" w:styleId="ObjetducommentaireCar">
    <w:name w:val="Objet du commentaire Car"/>
    <w:basedOn w:val="CommentaireCar"/>
    <w:link w:val="Objetducommentaire"/>
    <w:uiPriority w:val="99"/>
    <w:semiHidden/>
    <w:rsid w:val="00BA1F5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81315">
      <w:bodyDiv w:val="1"/>
      <w:marLeft w:val="0"/>
      <w:marRight w:val="0"/>
      <w:marTop w:val="0"/>
      <w:marBottom w:val="0"/>
      <w:divBdr>
        <w:top w:val="none" w:sz="0" w:space="0" w:color="auto"/>
        <w:left w:val="none" w:sz="0" w:space="0" w:color="auto"/>
        <w:bottom w:val="none" w:sz="0" w:space="0" w:color="auto"/>
        <w:right w:val="none" w:sz="0" w:space="0" w:color="auto"/>
      </w:divBdr>
    </w:div>
    <w:div w:id="389038913">
      <w:bodyDiv w:val="1"/>
      <w:marLeft w:val="0"/>
      <w:marRight w:val="0"/>
      <w:marTop w:val="0"/>
      <w:marBottom w:val="0"/>
      <w:divBdr>
        <w:top w:val="none" w:sz="0" w:space="0" w:color="auto"/>
        <w:left w:val="none" w:sz="0" w:space="0" w:color="auto"/>
        <w:bottom w:val="none" w:sz="0" w:space="0" w:color="auto"/>
        <w:right w:val="none" w:sz="0" w:space="0" w:color="auto"/>
      </w:divBdr>
      <w:divsChild>
        <w:div w:id="656421598">
          <w:marLeft w:val="1080"/>
          <w:marRight w:val="0"/>
          <w:marTop w:val="80"/>
          <w:marBottom w:val="40"/>
          <w:divBdr>
            <w:top w:val="none" w:sz="0" w:space="0" w:color="auto"/>
            <w:left w:val="none" w:sz="0" w:space="0" w:color="auto"/>
            <w:bottom w:val="none" w:sz="0" w:space="0" w:color="auto"/>
            <w:right w:val="none" w:sz="0" w:space="0" w:color="auto"/>
          </w:divBdr>
        </w:div>
      </w:divsChild>
    </w:div>
    <w:div w:id="586236207">
      <w:bodyDiv w:val="1"/>
      <w:marLeft w:val="0"/>
      <w:marRight w:val="0"/>
      <w:marTop w:val="0"/>
      <w:marBottom w:val="0"/>
      <w:divBdr>
        <w:top w:val="none" w:sz="0" w:space="0" w:color="auto"/>
        <w:left w:val="none" w:sz="0" w:space="0" w:color="auto"/>
        <w:bottom w:val="none" w:sz="0" w:space="0" w:color="auto"/>
        <w:right w:val="none" w:sz="0" w:space="0" w:color="auto"/>
      </w:divBdr>
      <w:divsChild>
        <w:div w:id="429665087">
          <w:marLeft w:val="274"/>
          <w:marRight w:val="0"/>
          <w:marTop w:val="150"/>
          <w:marBottom w:val="0"/>
          <w:divBdr>
            <w:top w:val="none" w:sz="0" w:space="0" w:color="auto"/>
            <w:left w:val="none" w:sz="0" w:space="0" w:color="auto"/>
            <w:bottom w:val="none" w:sz="0" w:space="0" w:color="auto"/>
            <w:right w:val="none" w:sz="0" w:space="0" w:color="auto"/>
          </w:divBdr>
        </w:div>
      </w:divsChild>
    </w:div>
    <w:div w:id="1093669522">
      <w:bodyDiv w:val="1"/>
      <w:marLeft w:val="0"/>
      <w:marRight w:val="0"/>
      <w:marTop w:val="0"/>
      <w:marBottom w:val="0"/>
      <w:divBdr>
        <w:top w:val="none" w:sz="0" w:space="0" w:color="auto"/>
        <w:left w:val="none" w:sz="0" w:space="0" w:color="auto"/>
        <w:bottom w:val="none" w:sz="0" w:space="0" w:color="auto"/>
        <w:right w:val="none" w:sz="0" w:space="0" w:color="auto"/>
      </w:divBdr>
      <w:divsChild>
        <w:div w:id="1194922424">
          <w:marLeft w:val="706"/>
          <w:marRight w:val="0"/>
          <w:marTop w:val="240"/>
          <w:marBottom w:val="120"/>
          <w:divBdr>
            <w:top w:val="none" w:sz="0" w:space="0" w:color="auto"/>
            <w:left w:val="none" w:sz="0" w:space="0" w:color="auto"/>
            <w:bottom w:val="none" w:sz="0" w:space="0" w:color="auto"/>
            <w:right w:val="none" w:sz="0" w:space="0" w:color="auto"/>
          </w:divBdr>
        </w:div>
      </w:divsChild>
    </w:div>
    <w:div w:id="1552423594">
      <w:bodyDiv w:val="1"/>
      <w:marLeft w:val="0"/>
      <w:marRight w:val="0"/>
      <w:marTop w:val="0"/>
      <w:marBottom w:val="0"/>
      <w:divBdr>
        <w:top w:val="none" w:sz="0" w:space="0" w:color="auto"/>
        <w:left w:val="none" w:sz="0" w:space="0" w:color="auto"/>
        <w:bottom w:val="none" w:sz="0" w:space="0" w:color="auto"/>
        <w:right w:val="none" w:sz="0" w:space="0" w:color="auto"/>
      </w:divBdr>
      <w:divsChild>
        <w:div w:id="1089232058">
          <w:marLeft w:val="1080"/>
          <w:marRight w:val="0"/>
          <w:marTop w:val="80"/>
          <w:marBottom w:val="40"/>
          <w:divBdr>
            <w:top w:val="none" w:sz="0" w:space="0" w:color="auto"/>
            <w:left w:val="none" w:sz="0" w:space="0" w:color="auto"/>
            <w:bottom w:val="none" w:sz="0" w:space="0" w:color="auto"/>
            <w:right w:val="none" w:sz="0" w:space="0" w:color="auto"/>
          </w:divBdr>
        </w:div>
      </w:divsChild>
    </w:div>
    <w:div w:id="1861046141">
      <w:bodyDiv w:val="1"/>
      <w:marLeft w:val="0"/>
      <w:marRight w:val="0"/>
      <w:marTop w:val="0"/>
      <w:marBottom w:val="0"/>
      <w:divBdr>
        <w:top w:val="none" w:sz="0" w:space="0" w:color="auto"/>
        <w:left w:val="none" w:sz="0" w:space="0" w:color="auto"/>
        <w:bottom w:val="none" w:sz="0" w:space="0" w:color="auto"/>
        <w:right w:val="none" w:sz="0" w:space="0" w:color="auto"/>
      </w:divBdr>
    </w:div>
    <w:div w:id="2045671923">
      <w:bodyDiv w:val="1"/>
      <w:marLeft w:val="0"/>
      <w:marRight w:val="0"/>
      <w:marTop w:val="0"/>
      <w:marBottom w:val="0"/>
      <w:divBdr>
        <w:top w:val="none" w:sz="0" w:space="0" w:color="auto"/>
        <w:left w:val="none" w:sz="0" w:space="0" w:color="auto"/>
        <w:bottom w:val="none" w:sz="0" w:space="0" w:color="auto"/>
        <w:right w:val="none" w:sz="0" w:space="0" w:color="auto"/>
      </w:divBdr>
    </w:div>
    <w:div w:id="2111705343">
      <w:bodyDiv w:val="1"/>
      <w:marLeft w:val="0"/>
      <w:marRight w:val="0"/>
      <w:marTop w:val="0"/>
      <w:marBottom w:val="0"/>
      <w:divBdr>
        <w:top w:val="none" w:sz="0" w:space="0" w:color="auto"/>
        <w:left w:val="none" w:sz="0" w:space="0" w:color="auto"/>
        <w:bottom w:val="none" w:sz="0" w:space="0" w:color="auto"/>
        <w:right w:val="none" w:sz="0" w:space="0" w:color="auto"/>
      </w:divBdr>
      <w:divsChild>
        <w:div w:id="750153827">
          <w:marLeft w:val="1080"/>
          <w:marRight w:val="0"/>
          <w:marTop w:val="80"/>
          <w:marBottom w:val="40"/>
          <w:divBdr>
            <w:top w:val="none" w:sz="0" w:space="0" w:color="auto"/>
            <w:left w:val="none" w:sz="0" w:space="0" w:color="auto"/>
            <w:bottom w:val="none" w:sz="0" w:space="0" w:color="auto"/>
            <w:right w:val="none" w:sz="0" w:space="0" w:color="auto"/>
          </w:divBdr>
        </w:div>
        <w:div w:id="1028533244">
          <w:marLeft w:val="1800"/>
          <w:marRight w:val="0"/>
          <w:marTop w:val="80"/>
          <w:marBottom w:val="40"/>
          <w:divBdr>
            <w:top w:val="none" w:sz="0" w:space="0" w:color="auto"/>
            <w:left w:val="none" w:sz="0" w:space="0" w:color="auto"/>
            <w:bottom w:val="none" w:sz="0" w:space="0" w:color="auto"/>
            <w:right w:val="none" w:sz="0" w:space="0" w:color="auto"/>
          </w:divBdr>
        </w:div>
        <w:div w:id="1126850954">
          <w:marLeft w:val="1800"/>
          <w:marRight w:val="0"/>
          <w:marTop w:val="80"/>
          <w:marBottom w:val="40"/>
          <w:divBdr>
            <w:top w:val="none" w:sz="0" w:space="0" w:color="auto"/>
            <w:left w:val="none" w:sz="0" w:space="0" w:color="auto"/>
            <w:bottom w:val="none" w:sz="0" w:space="0" w:color="auto"/>
            <w:right w:val="none" w:sz="0" w:space="0" w:color="auto"/>
          </w:divBdr>
        </w:div>
        <w:div w:id="40441411">
          <w:marLeft w:val="1800"/>
          <w:marRight w:val="0"/>
          <w:marTop w:val="80"/>
          <w:marBottom w:val="40"/>
          <w:divBdr>
            <w:top w:val="none" w:sz="0" w:space="0" w:color="auto"/>
            <w:left w:val="none" w:sz="0" w:space="0" w:color="auto"/>
            <w:bottom w:val="none" w:sz="0" w:space="0" w:color="auto"/>
            <w:right w:val="none" w:sz="0" w:space="0" w:color="auto"/>
          </w:divBdr>
        </w:div>
        <w:div w:id="687102775">
          <w:marLeft w:val="1800"/>
          <w:marRight w:val="0"/>
          <w:marTop w:val="80"/>
          <w:marBottom w:val="40"/>
          <w:divBdr>
            <w:top w:val="none" w:sz="0" w:space="0" w:color="auto"/>
            <w:left w:val="none" w:sz="0" w:space="0" w:color="auto"/>
            <w:bottom w:val="none" w:sz="0" w:space="0" w:color="auto"/>
            <w:right w:val="none" w:sz="0" w:space="0" w:color="auto"/>
          </w:divBdr>
        </w:div>
      </w:divsChild>
    </w:div>
    <w:div w:id="211393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nstat-mali.org"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1118</Words>
  <Characters>6153</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Ahmadou TOURE</dc:creator>
  <cp:keywords/>
  <dc:description/>
  <cp:lastModifiedBy>MK</cp:lastModifiedBy>
  <cp:revision>4</cp:revision>
  <dcterms:created xsi:type="dcterms:W3CDTF">2025-07-17T09:47:00Z</dcterms:created>
  <dcterms:modified xsi:type="dcterms:W3CDTF">2025-07-28T21:20:00Z</dcterms:modified>
</cp:coreProperties>
</file>