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F1E" w14:textId="1C334ED4" w:rsidR="0075518C" w:rsidRPr="00FC3E4E" w:rsidRDefault="00FC3E4E">
      <w:pPr>
        <w:rPr>
          <w:b/>
          <w:bCs/>
          <w:sz w:val="26"/>
          <w:szCs w:val="26"/>
        </w:rPr>
      </w:pPr>
      <w:r w:rsidRPr="00FC3E4E">
        <w:rPr>
          <w:b/>
          <w:bCs/>
          <w:sz w:val="26"/>
          <w:szCs w:val="26"/>
        </w:rPr>
        <w:t>Projet de canevas de présentation des principaux produits statistiques de l’INSTAT</w:t>
      </w:r>
    </w:p>
    <w:tbl>
      <w:tblPr>
        <w:tblStyle w:val="TableauGrille2-Accentuation11"/>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904"/>
        <w:gridCol w:w="6553"/>
      </w:tblGrid>
      <w:tr w:rsidR="00FC3E4E" w:rsidRPr="000D614F" w14:paraId="13965D81" w14:textId="77777777" w:rsidTr="005D1D6E">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2"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768"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5D1D6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2"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1464" w:type="pct"/>
            <w:tcBorders>
              <w:top w:val="single" w:sz="4" w:space="0" w:color="auto"/>
            </w:tcBorders>
          </w:tcPr>
          <w:p w14:paraId="00006D20" w14:textId="6160E12C" w:rsidR="00FC3E4E" w:rsidRPr="000D614F" w:rsidRDefault="00FC3E4E" w:rsidP="00043188">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3304" w:type="pct"/>
            <w:tcBorders>
              <w:top w:val="single" w:sz="4" w:space="0" w:color="auto"/>
            </w:tcBorders>
            <w:vAlign w:val="center"/>
          </w:tcPr>
          <w:p w14:paraId="1165F90B" w14:textId="77777777" w:rsidR="00FE4BAF" w:rsidRDefault="007E5DCF"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Département de la Recherche, de la Normalisation et des Enquêtes Statistiques (DNRE).</w:t>
            </w:r>
          </w:p>
          <w:p w14:paraId="2B670239" w14:textId="2AAA4AAF" w:rsidR="007E5DCF" w:rsidRPr="00FE4BAF" w:rsidRDefault="00FE4BAF" w:rsidP="00FE4BA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E4BAF">
              <w:rPr>
                <w:sz w:val="24"/>
                <w:szCs w:val="24"/>
              </w:rPr>
              <w:t>Le département est chargé de : (i) promouvoir le développement des sciences statistiques et de la recherche économique appliquée relevant du domaine de compétence de l’INSTAT en relation avec les institutions de recherche et les Universités ; (ii) veiller à la mise en application des méthodes, concepts, définitions, normes, classifications et nomenclatures approuvés par le Comité scientifique, (iii) élaborer les méthodes et concepts, (iv) définir les normes, classifications, nomenclatures et autres outils de collecte et d’exploitation des enquêtes statistiques et (v) participer à la conception et à la réalisation des opérations de collecte pour toutes enquêtes statistiques d’envergure nationale.</w:t>
            </w:r>
            <w:r w:rsidR="007E5DCF" w:rsidRPr="00FE4BAF">
              <w:rPr>
                <w:bCs/>
                <w:sz w:val="24"/>
                <w:szCs w:val="24"/>
              </w:rPr>
              <w:t xml:space="preserve"> </w:t>
            </w:r>
          </w:p>
        </w:tc>
      </w:tr>
      <w:tr w:rsidR="00FC3E4E" w:rsidRPr="000D614F" w14:paraId="0761B1B5" w14:textId="77777777" w:rsidTr="005D1D6E">
        <w:trPr>
          <w:trHeight w:val="50"/>
        </w:trPr>
        <w:tc>
          <w:tcPr>
            <w:cnfStyle w:val="001000000000" w:firstRow="0" w:lastRow="0" w:firstColumn="1" w:lastColumn="0" w:oddVBand="0" w:evenVBand="0" w:oddHBand="0" w:evenHBand="0" w:firstRowFirstColumn="0" w:firstRowLastColumn="0" w:lastRowFirstColumn="0" w:lastRowLastColumn="0"/>
            <w:tcW w:w="232"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1464" w:type="pct"/>
            <w:vAlign w:val="center"/>
          </w:tcPr>
          <w:p w14:paraId="0E78711C" w14:textId="43C6D27A" w:rsidR="00FC3E4E" w:rsidRPr="000D614F" w:rsidRDefault="003465DD" w:rsidP="00190FC9">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 xml:space="preserve">Nom du </w:t>
            </w:r>
            <w:r w:rsidR="00FC3E4E" w:rsidRPr="000D614F">
              <w:rPr>
                <w:bCs/>
                <w:sz w:val="24"/>
                <w:szCs w:val="24"/>
              </w:rPr>
              <w:t>Produit statistique</w:t>
            </w:r>
            <w:r w:rsidR="00190FC9" w:rsidRPr="000D614F">
              <w:rPr>
                <w:bCs/>
                <w:sz w:val="24"/>
                <w:szCs w:val="24"/>
              </w:rPr>
              <w:t xml:space="preserve"> </w:t>
            </w:r>
          </w:p>
        </w:tc>
        <w:tc>
          <w:tcPr>
            <w:tcW w:w="3304" w:type="pct"/>
            <w:vAlign w:val="center"/>
          </w:tcPr>
          <w:p w14:paraId="3D97E60F" w14:textId="600559AA" w:rsidR="00FC3E4E" w:rsidRPr="000D614F" w:rsidRDefault="00DC54C9" w:rsidP="009E188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Rapport de l’</w:t>
            </w:r>
            <w:r w:rsidR="00776886" w:rsidRPr="007E5DCF">
              <w:rPr>
                <w:sz w:val="24"/>
                <w:szCs w:val="24"/>
              </w:rPr>
              <w:t>E</w:t>
            </w:r>
            <w:r w:rsidR="00682895">
              <w:rPr>
                <w:sz w:val="24"/>
                <w:szCs w:val="24"/>
              </w:rPr>
              <w:t xml:space="preserve">nquête </w:t>
            </w:r>
            <w:r w:rsidR="009E1888">
              <w:rPr>
                <w:sz w:val="24"/>
                <w:szCs w:val="24"/>
              </w:rPr>
              <w:t>par Grappes à Indicateurs Multiples  (MICS</w:t>
            </w:r>
            <w:r w:rsidR="00776886" w:rsidRPr="007E5DCF">
              <w:rPr>
                <w:sz w:val="24"/>
                <w:szCs w:val="24"/>
              </w:rPr>
              <w:t xml:space="preserve">) </w:t>
            </w:r>
          </w:p>
        </w:tc>
      </w:tr>
      <w:tr w:rsidR="00FC3E4E" w:rsidRPr="000D614F" w14:paraId="08F19868" w14:textId="77777777" w:rsidTr="005D1D6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2"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1464" w:type="pct"/>
            <w:vAlign w:val="center"/>
          </w:tcPr>
          <w:p w14:paraId="5C7406C7" w14:textId="39C37695" w:rsidR="00FC3E4E" w:rsidRPr="000D614F" w:rsidRDefault="00786CF9"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 xml:space="preserve">Objectif principal </w:t>
            </w:r>
            <w:r w:rsidR="003465DD" w:rsidRPr="000D614F">
              <w:rPr>
                <w:bCs/>
                <w:sz w:val="24"/>
                <w:szCs w:val="24"/>
              </w:rPr>
              <w:t xml:space="preserve"> du produit et </w:t>
            </w:r>
            <w:r w:rsidR="00DC3600" w:rsidRPr="000D614F">
              <w:rPr>
                <w:bCs/>
                <w:sz w:val="24"/>
                <w:szCs w:val="24"/>
              </w:rPr>
              <w:t>son h</w:t>
            </w:r>
            <w:r w:rsidR="00FC3E4E" w:rsidRPr="000D614F">
              <w:rPr>
                <w:bCs/>
                <w:sz w:val="24"/>
                <w:szCs w:val="24"/>
              </w:rPr>
              <w:t xml:space="preserve">istorique </w:t>
            </w:r>
          </w:p>
        </w:tc>
        <w:tc>
          <w:tcPr>
            <w:tcW w:w="3304" w:type="pct"/>
            <w:vAlign w:val="center"/>
          </w:tcPr>
          <w:p w14:paraId="2E5F6E85" w14:textId="572EC03F" w:rsidR="00682895" w:rsidRDefault="00DD783E" w:rsidP="00BA1F57">
            <w:pPr>
              <w:jc w:val="both"/>
              <w:cnfStyle w:val="000000100000" w:firstRow="0" w:lastRow="0" w:firstColumn="0" w:lastColumn="0" w:oddVBand="0" w:evenVBand="0" w:oddHBand="1" w:evenHBand="0" w:firstRowFirstColumn="0" w:firstRowLastColumn="0" w:lastRowFirstColumn="0" w:lastRowLastColumn="0"/>
              <w:rPr>
                <w:sz w:val="24"/>
                <w:szCs w:val="24"/>
              </w:rPr>
            </w:pPr>
            <w:r>
              <w:t>Réalisée par l’Institut National de la Statistique en collaboration avec la CPS Santé, l</w:t>
            </w:r>
            <w:r w:rsidRPr="00152425">
              <w:t>'</w:t>
            </w:r>
            <w:r w:rsidRPr="00152425">
              <w:rPr>
                <w:rFonts w:cs="Arial"/>
              </w:rPr>
              <w:t xml:space="preserve">enquête </w:t>
            </w:r>
            <w:r>
              <w:rPr>
                <w:rFonts w:cs="Arial"/>
              </w:rPr>
              <w:t xml:space="preserve">par grappes </w:t>
            </w:r>
            <w:r w:rsidRPr="00152425">
              <w:rPr>
                <w:rFonts w:cs="Arial"/>
              </w:rPr>
              <w:t xml:space="preserve">à indicateurs multiples </w:t>
            </w:r>
            <w:r w:rsidRPr="00152425">
              <w:t>(</w:t>
            </w:r>
            <w:r w:rsidRPr="00152425">
              <w:rPr>
                <w:rFonts w:cs="Arial"/>
              </w:rPr>
              <w:t xml:space="preserve">MICS) est un programme </w:t>
            </w:r>
            <w:r w:rsidRPr="00152425">
              <w:t>inte</w:t>
            </w:r>
            <w:r>
              <w:t xml:space="preserve">rnational d‘enquêtes auprès des </w:t>
            </w:r>
            <w:r w:rsidR="00953623">
              <w:t xml:space="preserve">ménages </w:t>
            </w:r>
            <w:r w:rsidRPr="00152425">
              <w:t>élaboré par l'UNICEF</w:t>
            </w:r>
            <w:r w:rsidR="00682895">
              <w:rPr>
                <w:sz w:val="24"/>
                <w:szCs w:val="24"/>
              </w:rPr>
              <w:t xml:space="preserve">. </w:t>
            </w:r>
          </w:p>
          <w:p w14:paraId="5909FE83" w14:textId="62B489F6" w:rsidR="007E5DCF" w:rsidRDefault="005D1D6E" w:rsidP="00682895">
            <w:pPr>
              <w:jc w:val="both"/>
              <w:cnfStyle w:val="000000100000" w:firstRow="0" w:lastRow="0" w:firstColumn="0" w:lastColumn="0" w:oddVBand="0" w:evenVBand="0" w:oddHBand="1" w:evenHBand="0" w:firstRowFirstColumn="0" w:firstRowLastColumn="0" w:lastRowFirstColumn="0" w:lastRowLastColumn="0"/>
              <w:rPr>
                <w:sz w:val="24"/>
                <w:szCs w:val="24"/>
              </w:rPr>
            </w:pPr>
            <w:r>
              <w:t>Cette enquête</w:t>
            </w:r>
            <w:r w:rsidRPr="00152425">
              <w:t xml:space="preserve"> est conçu</w:t>
            </w:r>
            <w:r>
              <w:t>e</w:t>
            </w:r>
            <w:r w:rsidRPr="00152425">
              <w:t xml:space="preserve"> pour recueillir </w:t>
            </w:r>
            <w:r w:rsidRPr="00152425">
              <w:rPr>
                <w:rFonts w:cs="Arial"/>
              </w:rPr>
              <w:t xml:space="preserve">des estimations des indicateurs clés </w:t>
            </w:r>
            <w:r w:rsidRPr="00152425">
              <w:t>statistiquement fiables</w:t>
            </w:r>
            <w:r w:rsidRPr="00152425">
              <w:rPr>
                <w:rFonts w:cs="Arial"/>
              </w:rPr>
              <w:t xml:space="preserve">, et </w:t>
            </w:r>
            <w:r w:rsidRPr="00152425">
              <w:t>comparables au niveau international qui sont utilisés pour évaluer la situation des enfants et des femmes dans les domaines de la santé</w:t>
            </w:r>
            <w:r w:rsidRPr="00152425">
              <w:rPr>
                <w:rFonts w:cs="Arial"/>
              </w:rPr>
              <w:t xml:space="preserve">, l'éducation, </w:t>
            </w:r>
            <w:r w:rsidRPr="00152425">
              <w:t>la protection des enfants et le VIH/ SIDA</w:t>
            </w:r>
            <w:r w:rsidRPr="00152425">
              <w:rPr>
                <w:rFonts w:cs="Arial"/>
              </w:rPr>
              <w:t xml:space="preserve">. </w:t>
            </w:r>
            <w:r w:rsidR="00DF3352">
              <w:rPr>
                <w:rFonts w:cs="Arial"/>
              </w:rPr>
              <w:t xml:space="preserve">L’enquête </w:t>
            </w:r>
            <w:r w:rsidRPr="00152425">
              <w:t>MICS peut être utilisé comme un outil de collecte de données pour générer des données pour le suivi des progrès vers les objectifs nationaux et engagements internationaux visant à promouvoir le bien-être des enfants</w:t>
            </w:r>
            <w:r w:rsidRPr="00152425">
              <w:rPr>
                <w:rFonts w:cs="Arial"/>
              </w:rPr>
              <w:t xml:space="preserve">, y compris </w:t>
            </w:r>
            <w:r w:rsidRPr="00152425">
              <w:t>les Objectifs du Millénaire pour le développement(OMD</w:t>
            </w:r>
            <w:r w:rsidRPr="00152425">
              <w:rPr>
                <w:rFonts w:cs="Arial"/>
              </w:rPr>
              <w:t>)</w:t>
            </w:r>
            <w:r>
              <w:rPr>
                <w:rFonts w:cs="Arial"/>
              </w:rPr>
              <w:t>.</w:t>
            </w:r>
          </w:p>
          <w:p w14:paraId="6A34DC3A" w14:textId="75297A45" w:rsidR="005D1D6E" w:rsidRPr="000D614F" w:rsidRDefault="003000F0" w:rsidP="00682895">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w:t>
            </w:r>
            <w:r w:rsidR="005D1D6E" w:rsidRPr="005D1D6E">
              <w:rPr>
                <w:sz w:val="24"/>
                <w:szCs w:val="24"/>
              </w:rPr>
              <w:t xml:space="preserve">es </w:t>
            </w:r>
            <w:r w:rsidR="005D1D6E" w:rsidRPr="005D1D6E">
              <w:rPr>
                <w:b/>
                <w:bCs/>
                <w:sz w:val="24"/>
                <w:szCs w:val="24"/>
              </w:rPr>
              <w:t xml:space="preserve">différentes MICS : </w:t>
            </w:r>
            <w:r w:rsidR="005D1D6E" w:rsidRPr="005D1D6E">
              <w:rPr>
                <w:sz w:val="24"/>
                <w:szCs w:val="24"/>
              </w:rPr>
              <w:t>MICS-1996, MICS-ELIM-2010 et MICS-2015</w:t>
            </w:r>
          </w:p>
        </w:tc>
      </w:tr>
      <w:tr w:rsidR="00FC3E4E" w:rsidRPr="000D614F" w14:paraId="5E29D9C3" w14:textId="77777777" w:rsidTr="005D1D6E">
        <w:trPr>
          <w:trHeight w:val="50"/>
        </w:trPr>
        <w:tc>
          <w:tcPr>
            <w:cnfStyle w:val="001000000000" w:firstRow="0" w:lastRow="0" w:firstColumn="1" w:lastColumn="0" w:oddVBand="0" w:evenVBand="0" w:oddHBand="0" w:evenHBand="0" w:firstRowFirstColumn="0" w:firstRowLastColumn="0" w:lastRowFirstColumn="0" w:lastRowLastColumn="0"/>
            <w:tcW w:w="232"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1464" w:type="pct"/>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Méthodologie</w:t>
            </w:r>
            <w:r w:rsidR="00B82C3E" w:rsidRPr="000D614F">
              <w:rPr>
                <w:bCs/>
                <w:sz w:val="24"/>
                <w:szCs w:val="24"/>
              </w:rPr>
              <w:t xml:space="preserve"> utilisée </w:t>
            </w:r>
            <w:r w:rsidR="00B82C3E" w:rsidRPr="00B61243">
              <w:rPr>
                <w:bCs/>
                <w:sz w:val="24"/>
                <w:szCs w:val="24"/>
                <w:u w:val="single"/>
              </w:rPr>
              <w:t>ou aperçu sur l’interface s’il s’agit d’une base de données ou site web</w:t>
            </w:r>
          </w:p>
        </w:tc>
        <w:tc>
          <w:tcPr>
            <w:tcW w:w="3304" w:type="pct"/>
            <w:vAlign w:val="center"/>
          </w:tcPr>
          <w:p w14:paraId="5C313ADE" w14:textId="59194530" w:rsidR="001F09EF" w:rsidRDefault="001F09EF" w:rsidP="00E75DAD">
            <w:pPr>
              <w:jc w:val="both"/>
              <w:cnfStyle w:val="000000000000" w:firstRow="0" w:lastRow="0" w:firstColumn="0" w:lastColumn="0" w:oddVBand="0" w:evenVBand="0" w:oddHBand="0" w:evenHBand="0" w:firstRowFirstColumn="0" w:firstRowLastColumn="0" w:lastRowFirstColumn="0" w:lastRowLastColumn="0"/>
              <w:rPr>
                <w:rStyle w:val="hps"/>
              </w:rPr>
            </w:pPr>
            <w:r w:rsidRPr="00887886">
              <w:rPr>
                <w:rStyle w:val="hps"/>
              </w:rPr>
              <w:t xml:space="preserve">L’Enquête MICS est réalisée au moyen d’un </w:t>
            </w:r>
            <w:r w:rsidRPr="00152425">
              <w:rPr>
                <w:rStyle w:val="hps"/>
              </w:rPr>
              <w:t xml:space="preserve">sondage aléatoire </w:t>
            </w:r>
            <w:r>
              <w:rPr>
                <w:rStyle w:val="hps"/>
              </w:rPr>
              <w:t xml:space="preserve">stratifié </w:t>
            </w:r>
            <w:r w:rsidRPr="00152425">
              <w:rPr>
                <w:rStyle w:val="hps"/>
              </w:rPr>
              <w:t xml:space="preserve">à deux degrés </w:t>
            </w:r>
            <w:r>
              <w:rPr>
                <w:rStyle w:val="hps"/>
              </w:rPr>
              <w:t xml:space="preserve">en vue de rendre possible </w:t>
            </w:r>
            <w:r w:rsidRPr="00887886">
              <w:rPr>
                <w:rStyle w:val="hps"/>
              </w:rPr>
              <w:t>l’extrapolation des résultats de l’échantillon à l’ensemble de la population observée</w:t>
            </w:r>
            <w:r>
              <w:rPr>
                <w:rStyle w:val="hps"/>
              </w:rPr>
              <w:t xml:space="preserve">. </w:t>
            </w:r>
          </w:p>
          <w:p w14:paraId="1C60B691" w14:textId="3E5A9C9C" w:rsidR="001F09EF" w:rsidRPr="00152425" w:rsidRDefault="001F09EF" w:rsidP="001F09EF">
            <w:pPr>
              <w:shd w:val="clear" w:color="auto" w:fill="FFFFFF" w:themeFill="background1"/>
              <w:jc w:val="both"/>
              <w:textAlignment w:val="top"/>
              <w:cnfStyle w:val="000000000000" w:firstRow="0" w:lastRow="0" w:firstColumn="0" w:lastColumn="0" w:oddVBand="0" w:evenVBand="0" w:oddHBand="0" w:evenHBand="0" w:firstRowFirstColumn="0" w:firstRowLastColumn="0" w:lastRowFirstColumn="0" w:lastRowLastColumn="0"/>
              <w:rPr>
                <w:rStyle w:val="hps"/>
              </w:rPr>
            </w:pPr>
            <w:r w:rsidRPr="00152425">
              <w:rPr>
                <w:rStyle w:val="hps"/>
              </w:rPr>
              <w:t>Les unités statistiques du premier degré ou unités primaires sont les sections d’énumération (SE) définies lors du RGPH (Recensement Général de la Pop</w:t>
            </w:r>
            <w:r w:rsidR="00C00581">
              <w:rPr>
                <w:rStyle w:val="hps"/>
              </w:rPr>
              <w:t>ulation et de l’Habitat)</w:t>
            </w:r>
            <w:r w:rsidRPr="00152425">
              <w:rPr>
                <w:rStyle w:val="hps"/>
              </w:rPr>
              <w:t>.</w:t>
            </w:r>
          </w:p>
          <w:p w14:paraId="5733F5E5" w14:textId="14759571" w:rsidR="001F09EF" w:rsidRDefault="001F09EF" w:rsidP="00C00581">
            <w:pPr>
              <w:shd w:val="clear" w:color="auto" w:fill="FFFFFF" w:themeFill="background1"/>
              <w:jc w:val="both"/>
              <w:textAlignment w:val="top"/>
              <w:cnfStyle w:val="000000000000" w:firstRow="0" w:lastRow="0" w:firstColumn="0" w:lastColumn="0" w:oddVBand="0" w:evenVBand="0" w:oddHBand="0" w:evenHBand="0" w:firstRowFirstColumn="0" w:firstRowLastColumn="0" w:lastRowFirstColumn="0" w:lastRowLastColumn="0"/>
              <w:rPr>
                <w:rStyle w:val="hps"/>
              </w:rPr>
            </w:pPr>
            <w:r w:rsidRPr="00152425">
              <w:rPr>
                <w:rStyle w:val="hps"/>
              </w:rPr>
              <w:t>Un échantillon de sections d’énumération est tiré au premier degré. Les unités statistiques du deuxième degré ou unités secondaires sont constituées par les ménages des sections d’énumération tirés au premier degré. Elles définissent la base de sondage du deuxième degré du sondage.</w:t>
            </w:r>
          </w:p>
          <w:p w14:paraId="06E06B3C" w14:textId="77777777" w:rsidR="00C00581" w:rsidRDefault="001F09EF" w:rsidP="00C00581">
            <w:p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b/>
                <w:bCs/>
                <w:sz w:val="24"/>
                <w:szCs w:val="24"/>
              </w:rPr>
              <w:t xml:space="preserve"> </w:t>
            </w:r>
            <w:r w:rsidR="00C00581">
              <w:rPr>
                <w:b/>
                <w:bCs/>
                <w:sz w:val="24"/>
                <w:szCs w:val="24"/>
              </w:rPr>
              <w:t xml:space="preserve">Outils de collecte : </w:t>
            </w:r>
            <w:r w:rsidR="00C00581">
              <w:rPr>
                <w:sz w:val="24"/>
                <w:szCs w:val="24"/>
              </w:rPr>
              <w:t>Q</w:t>
            </w:r>
            <w:r w:rsidR="00776886" w:rsidRPr="00E75DAD">
              <w:rPr>
                <w:sz w:val="24"/>
                <w:szCs w:val="24"/>
              </w:rPr>
              <w:t xml:space="preserve">uatre questionnaires sont utilisés </w:t>
            </w:r>
            <w:r w:rsidR="00C00581">
              <w:rPr>
                <w:sz w:val="24"/>
                <w:szCs w:val="24"/>
              </w:rPr>
              <w:t xml:space="preserve">dans le cadre du MICS </w:t>
            </w:r>
          </w:p>
          <w:p w14:paraId="3588033A" w14:textId="621CD33B" w:rsidR="007016CB" w:rsidRPr="00E75DAD" w:rsidRDefault="00776886" w:rsidP="00C00581">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sz w:val="24"/>
                <w:szCs w:val="24"/>
              </w:rPr>
              <w:t>Questionnaire ménage ;</w:t>
            </w:r>
          </w:p>
          <w:p w14:paraId="3DF09CF7" w14:textId="77777777" w:rsidR="007016CB" w:rsidRPr="00E75DAD" w:rsidRDefault="00776886" w:rsidP="00E75DAD">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sz w:val="24"/>
                <w:szCs w:val="24"/>
              </w:rPr>
              <w:t>Questionnaire individuel femme ;</w:t>
            </w:r>
          </w:p>
          <w:p w14:paraId="52C281DA" w14:textId="77777777" w:rsidR="007016CB" w:rsidRPr="00E75DAD" w:rsidRDefault="00776886" w:rsidP="00E75DAD">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sz w:val="24"/>
                <w:szCs w:val="24"/>
              </w:rPr>
              <w:t>Questionnaire individuel homme ;</w:t>
            </w:r>
          </w:p>
          <w:p w14:paraId="50C62FF0" w14:textId="60664BDB" w:rsidR="00FC3E4E" w:rsidRPr="00E75DAD" w:rsidRDefault="00C00581" w:rsidP="00BA1F57">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Questionnaire enfants de moins de 5 ans </w:t>
            </w:r>
          </w:p>
        </w:tc>
      </w:tr>
      <w:tr w:rsidR="00FC3E4E" w:rsidRPr="000D614F" w14:paraId="6798F5E1" w14:textId="77777777" w:rsidTr="005D1D6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2" w:type="pct"/>
            <w:vAlign w:val="center"/>
          </w:tcPr>
          <w:p w14:paraId="0693E3F0" w14:textId="77777777" w:rsidR="00FC3E4E" w:rsidRPr="000D614F" w:rsidRDefault="00FC3E4E" w:rsidP="00B82C3E">
            <w:pPr>
              <w:rPr>
                <w:b w:val="0"/>
                <w:sz w:val="24"/>
                <w:szCs w:val="24"/>
              </w:rPr>
            </w:pPr>
            <w:r w:rsidRPr="000D614F">
              <w:rPr>
                <w:b w:val="0"/>
                <w:sz w:val="24"/>
                <w:szCs w:val="24"/>
              </w:rPr>
              <w:lastRenderedPageBreak/>
              <w:t>5</w:t>
            </w:r>
          </w:p>
        </w:tc>
        <w:tc>
          <w:tcPr>
            <w:tcW w:w="1464" w:type="pct"/>
            <w:vAlign w:val="center"/>
          </w:tcPr>
          <w:p w14:paraId="729C1659" w14:textId="28128D4A" w:rsidR="00FC3E4E" w:rsidRPr="00B61243"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B61243">
              <w:rPr>
                <w:bCs/>
                <w:sz w:val="24"/>
                <w:szCs w:val="24"/>
              </w:rPr>
              <w:t>Principaux indicateurs</w:t>
            </w:r>
            <w:r w:rsidR="00B82C3E" w:rsidRPr="00B61243">
              <w:rPr>
                <w:bCs/>
                <w:sz w:val="24"/>
                <w:szCs w:val="24"/>
              </w:rPr>
              <w:t xml:space="preserve"> </w:t>
            </w:r>
            <w:r w:rsidR="00E04D7C" w:rsidRPr="00B61243">
              <w:rPr>
                <w:bCs/>
                <w:sz w:val="24"/>
                <w:szCs w:val="24"/>
              </w:rPr>
              <w:t xml:space="preserve">clés </w:t>
            </w:r>
            <w:r w:rsidR="00B82C3E" w:rsidRPr="00B61243">
              <w:rPr>
                <w:bCs/>
                <w:sz w:val="24"/>
                <w:szCs w:val="24"/>
              </w:rPr>
              <w:t xml:space="preserve">renseignés </w:t>
            </w:r>
            <w:r w:rsidR="00E04D7C" w:rsidRPr="00B61243">
              <w:rPr>
                <w:bCs/>
                <w:sz w:val="24"/>
                <w:szCs w:val="24"/>
              </w:rPr>
              <w:t>(</w:t>
            </w:r>
            <w:r w:rsidR="00B82C3E" w:rsidRPr="00B61243">
              <w:rPr>
                <w:bCs/>
                <w:sz w:val="24"/>
                <w:szCs w:val="24"/>
                <w:u w:val="single"/>
              </w:rPr>
              <w:t>ou</w:t>
            </w:r>
            <w:r w:rsidR="00B82C3E" w:rsidRPr="00B61243">
              <w:rPr>
                <w:bCs/>
                <w:sz w:val="24"/>
                <w:szCs w:val="24"/>
              </w:rPr>
              <w:t xml:space="preserve"> </w:t>
            </w:r>
            <w:r w:rsidR="00B82C3E" w:rsidRPr="00B61243">
              <w:rPr>
                <w:bCs/>
                <w:sz w:val="24"/>
                <w:szCs w:val="24"/>
                <w:u w:val="single"/>
              </w:rPr>
              <w:t xml:space="preserve">disponibles </w:t>
            </w:r>
            <w:r w:rsidR="00E04D7C" w:rsidRPr="00B61243">
              <w:rPr>
                <w:bCs/>
                <w:sz w:val="24"/>
                <w:szCs w:val="24"/>
                <w:u w:val="single"/>
              </w:rPr>
              <w:t>sur le site web/</w:t>
            </w:r>
            <w:r w:rsidR="00B82C3E" w:rsidRPr="00B61243">
              <w:rPr>
                <w:bCs/>
                <w:sz w:val="24"/>
                <w:szCs w:val="24"/>
                <w:u w:val="single"/>
              </w:rPr>
              <w:t>base de données le cas échéant</w:t>
            </w:r>
            <w:r w:rsidR="00E04D7C" w:rsidRPr="00B61243">
              <w:rPr>
                <w:bCs/>
                <w:sz w:val="24"/>
                <w:szCs w:val="24"/>
                <w:u w:val="single"/>
              </w:rPr>
              <w:t>)</w:t>
            </w:r>
          </w:p>
        </w:tc>
        <w:tc>
          <w:tcPr>
            <w:tcW w:w="3304" w:type="pct"/>
            <w:vAlign w:val="center"/>
          </w:tcPr>
          <w:p w14:paraId="3F39BDF3" w14:textId="71F52F52" w:rsidR="004E314E" w:rsidRPr="004E314E" w:rsidRDefault="000A053D"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Mortalité des enfants</w:t>
            </w:r>
          </w:p>
          <w:p w14:paraId="3AC84248" w14:textId="2894C773" w:rsidR="004E314E" w:rsidRDefault="00AE147C"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Au Mali en 2015, </w:t>
            </w:r>
            <w:r w:rsidR="000A053D">
              <w:rPr>
                <w:sz w:val="24"/>
                <w:szCs w:val="24"/>
              </w:rPr>
              <w:t>Quotient de mortalité néonatale</w:t>
            </w:r>
            <w:r w:rsidR="00C2008B">
              <w:rPr>
                <w:sz w:val="24"/>
                <w:szCs w:val="24"/>
              </w:rPr>
              <w:t xml:space="preserve"> (31,0 </w:t>
            </w:r>
            <w:r w:rsidR="00C2008B" w:rsidRPr="004B39E7">
              <w:rPr>
                <w:rFonts w:ascii="Arial Narrow" w:hAnsi="Arial Narrow"/>
                <w:color w:val="000000"/>
              </w:rPr>
              <w:t>‰</w:t>
            </w:r>
            <w:r w:rsidR="00C2008B">
              <w:rPr>
                <w:sz w:val="24"/>
                <w:szCs w:val="24"/>
              </w:rPr>
              <w:t>)</w:t>
            </w:r>
            <w:r w:rsidR="000A053D">
              <w:rPr>
                <w:sz w:val="24"/>
                <w:szCs w:val="24"/>
              </w:rPr>
              <w:t>, infantile</w:t>
            </w:r>
            <w:r w:rsidR="00C2008B">
              <w:rPr>
                <w:sz w:val="24"/>
                <w:szCs w:val="24"/>
              </w:rPr>
              <w:t xml:space="preserve"> (56,0 </w:t>
            </w:r>
            <w:r w:rsidR="00C2008B" w:rsidRPr="004B39E7">
              <w:rPr>
                <w:rFonts w:ascii="Arial Narrow" w:hAnsi="Arial Narrow"/>
                <w:color w:val="000000"/>
              </w:rPr>
              <w:t>‰</w:t>
            </w:r>
            <w:r w:rsidR="00C2008B">
              <w:rPr>
                <w:sz w:val="24"/>
                <w:szCs w:val="24"/>
              </w:rPr>
              <w:t xml:space="preserve">) </w:t>
            </w:r>
            <w:r w:rsidR="000A053D">
              <w:rPr>
                <w:sz w:val="24"/>
                <w:szCs w:val="24"/>
              </w:rPr>
              <w:t>et infanto-juvénile</w:t>
            </w:r>
            <w:r w:rsidR="00C2008B">
              <w:rPr>
                <w:sz w:val="24"/>
                <w:szCs w:val="24"/>
              </w:rPr>
              <w:t xml:space="preserve"> (108</w:t>
            </w:r>
            <w:r w:rsidR="00C2008B" w:rsidRPr="004B39E7">
              <w:rPr>
                <w:rFonts w:ascii="Arial Narrow" w:hAnsi="Arial Narrow"/>
                <w:color w:val="000000"/>
              </w:rPr>
              <w:t>‰</w:t>
            </w:r>
            <w:r w:rsidR="00C2008B">
              <w:rPr>
                <w:rFonts w:ascii="Arial Narrow" w:hAnsi="Arial Narrow"/>
                <w:color w:val="000000"/>
              </w:rPr>
              <w:t>)</w:t>
            </w:r>
            <w:r w:rsidR="004E314E">
              <w:rPr>
                <w:sz w:val="24"/>
                <w:szCs w:val="24"/>
              </w:rPr>
              <w:t>.</w:t>
            </w:r>
          </w:p>
          <w:p w14:paraId="67101A3E" w14:textId="517D35CA" w:rsidR="004E314E" w:rsidRPr="004E314E" w:rsidRDefault="000A053D"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Nutrition </w:t>
            </w:r>
          </w:p>
          <w:p w14:paraId="4AFEDAFF" w14:textId="4811A300" w:rsidR="00FC3E4E" w:rsidRDefault="000A053D"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Prévalence de l’insuffisance pondérale</w:t>
            </w:r>
            <w:r w:rsidR="00AE147C">
              <w:rPr>
                <w:sz w:val="24"/>
                <w:szCs w:val="24"/>
              </w:rPr>
              <w:t xml:space="preserve"> (</w:t>
            </w:r>
            <w:r w:rsidR="00AE147C">
              <w:t>8,3%)</w:t>
            </w:r>
            <w:r>
              <w:rPr>
                <w:sz w:val="24"/>
                <w:szCs w:val="24"/>
              </w:rPr>
              <w:t xml:space="preserve"> du retard de croissance</w:t>
            </w:r>
            <w:r w:rsidR="00AE147C">
              <w:rPr>
                <w:sz w:val="24"/>
                <w:szCs w:val="24"/>
              </w:rPr>
              <w:t xml:space="preserve"> (13</w:t>
            </w:r>
            <w:r>
              <w:rPr>
                <w:sz w:val="24"/>
                <w:szCs w:val="24"/>
              </w:rPr>
              <w:t>,</w:t>
            </w:r>
            <w:r w:rsidR="00AE147C">
              <w:rPr>
                <w:sz w:val="24"/>
                <w:szCs w:val="24"/>
              </w:rPr>
              <w:t>2 %)</w:t>
            </w:r>
            <w:r>
              <w:rPr>
                <w:sz w:val="24"/>
                <w:szCs w:val="24"/>
              </w:rPr>
              <w:t xml:space="preserve"> </w:t>
            </w:r>
            <w:r w:rsidR="00604932">
              <w:rPr>
                <w:sz w:val="24"/>
                <w:szCs w:val="24"/>
              </w:rPr>
              <w:t>et de l’émaciation</w:t>
            </w:r>
            <w:r w:rsidR="00AE147C">
              <w:rPr>
                <w:sz w:val="24"/>
                <w:szCs w:val="24"/>
              </w:rPr>
              <w:t xml:space="preserve"> (3,4 %)</w:t>
            </w:r>
            <w:r w:rsidR="004E314E">
              <w:rPr>
                <w:sz w:val="24"/>
                <w:szCs w:val="24"/>
              </w:rPr>
              <w:t xml:space="preserve">. </w:t>
            </w:r>
          </w:p>
          <w:p w14:paraId="77BBC1D5" w14:textId="70FB6521" w:rsidR="004E314E" w:rsidRDefault="00604932"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Santé de l’enfant</w:t>
            </w:r>
          </w:p>
          <w:p w14:paraId="7763921B" w14:textId="1C27012C" w:rsidR="00604932" w:rsidRPr="004E314E" w:rsidRDefault="00604932"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Vaccination </w:t>
            </w:r>
          </w:p>
          <w:p w14:paraId="5B967F67" w14:textId="6A9E78FE" w:rsidR="00604932" w:rsidRPr="00604932" w:rsidRDefault="00441C1E"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d’enfants de 12-23 mois qui ont reçu toutes les vaccinations recommandées par le Programme national de vaccination avant leur premier anniversaire</w:t>
            </w:r>
            <w:r w:rsidR="00AE147C">
              <w:t xml:space="preserve"> (20,2 %)</w:t>
            </w:r>
            <w:r w:rsidR="00604932">
              <w:rPr>
                <w:sz w:val="24"/>
                <w:szCs w:val="24"/>
              </w:rPr>
              <w:t xml:space="preserve">. </w:t>
            </w:r>
          </w:p>
          <w:p w14:paraId="44E378BB" w14:textId="58B4E425" w:rsidR="004E314E" w:rsidRDefault="00441C1E"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Vaccin antitétanique</w:t>
            </w:r>
          </w:p>
          <w:p w14:paraId="77E68C12" w14:textId="3BBF5783" w:rsidR="004E314E" w:rsidRDefault="00441C1E"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 femmes de 15-49 ans avec une naissance vivante dans les deux dernières années qui ont reçu au moins deux doses de vaccin antitétanique dans l’intervalle de temps approprié avant la naissance la plus récente</w:t>
            </w:r>
            <w:r w:rsidR="00AE147C">
              <w:t xml:space="preserve"> (52,7 %)</w:t>
            </w:r>
            <w:r w:rsidR="00944EF5">
              <w:rPr>
                <w:sz w:val="24"/>
                <w:szCs w:val="24"/>
              </w:rPr>
              <w:t xml:space="preserve">. </w:t>
            </w:r>
          </w:p>
          <w:p w14:paraId="38B1F738" w14:textId="71331D0C" w:rsidR="00944EF5" w:rsidRDefault="00441C1E"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Diarrhée</w:t>
            </w:r>
          </w:p>
          <w:p w14:paraId="58F48DDD" w14:textId="628E852D" w:rsidR="00944EF5" w:rsidRDefault="00441C1E"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d’enfants de moins de 5 ans avec diarrhée dans les deux dernières semaines</w:t>
            </w:r>
            <w:r w:rsidR="00AE147C">
              <w:t xml:space="preserve"> (14,6 %)</w:t>
            </w:r>
            <w:r w:rsidR="00DC54C9">
              <w:t>.</w:t>
            </w:r>
          </w:p>
          <w:p w14:paraId="41052FC7" w14:textId="2688AAFE" w:rsidR="00F21EBA" w:rsidRDefault="004B4D47"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Symptômes d’une infection respiratoire aigüe (IRA) </w:t>
            </w:r>
          </w:p>
          <w:p w14:paraId="0F7F466C" w14:textId="5CEC31B8" w:rsidR="00F21EBA" w:rsidRDefault="004B4D47"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d’enfants de moins de 5 ans avec symptômes d’IRA dans les deux dernières semaines</w:t>
            </w:r>
            <w:r w:rsidR="00AE147C">
              <w:t xml:space="preserve"> (1,7 %)</w:t>
            </w:r>
            <w:r w:rsidR="00DC54C9">
              <w:t>.</w:t>
            </w:r>
          </w:p>
          <w:p w14:paraId="39C65D7B" w14:textId="1E115CEB" w:rsidR="00DE0239" w:rsidRPr="00DE0239" w:rsidRDefault="004B4D47" w:rsidP="00BA1F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Paludisme et Fièvre</w:t>
            </w:r>
          </w:p>
          <w:p w14:paraId="413A7BF6" w14:textId="6F77E869" w:rsidR="00DE0239" w:rsidRDefault="004B4D47"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d’enfants de moins de 5 ans avec fièvre dans les deux dernières semaines</w:t>
            </w:r>
            <w:r w:rsidR="00AE147C">
              <w:t xml:space="preserve"> (15,1 %)</w:t>
            </w:r>
            <w:r>
              <w:t>, Po</w:t>
            </w:r>
            <w:r w:rsidR="00C347D9">
              <w:t xml:space="preserve">urcentage de ménages avec </w:t>
            </w:r>
            <w:r>
              <w:t>au moins une MII</w:t>
            </w:r>
            <w:r w:rsidR="00C347D9">
              <w:t xml:space="preserve"> (89,3 %)</w:t>
            </w:r>
            <w:r>
              <w:t>, Pourcentage d’enfants de moins de 5 ans qui ont dormi sous MII la nuit précédente</w:t>
            </w:r>
            <w:r w:rsidR="00C347D9">
              <w:t xml:space="preserve"> (79,3 %)</w:t>
            </w:r>
            <w:r>
              <w:t>, Pourcentage de femmes enceintes qui ont dormi sous MII la nuit précédente</w:t>
            </w:r>
            <w:r w:rsidR="00C347D9">
              <w:t xml:space="preserve"> (66,2 %)</w:t>
            </w:r>
            <w:r>
              <w:t>, Pourcentage de femmes de 15-49 ans qui ont reçu trois doses ou plus de SP/ Fansidar, dont au moins une a été reçue lors d’une visite prénatale, durant leur dernière grossesse ayant abouti à une naissance vivante dans les deux dernières années</w:t>
            </w:r>
            <w:r w:rsidR="00C347D9">
              <w:t xml:space="preserve"> (17,5 %)</w:t>
            </w:r>
            <w:r w:rsidR="00D03EE3">
              <w:rPr>
                <w:sz w:val="24"/>
                <w:szCs w:val="24"/>
              </w:rPr>
              <w:t xml:space="preserve">. </w:t>
            </w:r>
            <w:r w:rsidR="00DE0239">
              <w:rPr>
                <w:sz w:val="24"/>
                <w:szCs w:val="24"/>
              </w:rPr>
              <w:t xml:space="preserve">  </w:t>
            </w:r>
          </w:p>
          <w:p w14:paraId="25B2FF53" w14:textId="15B55370" w:rsidR="00DE0239" w:rsidRDefault="004B4D47"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Eau et Assainissement</w:t>
            </w:r>
          </w:p>
          <w:p w14:paraId="7EBB60C0" w14:textId="5E73B5A8" w:rsidR="00D03EE3" w:rsidRDefault="004B4D47"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 membres des ménages utilisant des sources d’eau de boisson améliorées</w:t>
            </w:r>
            <w:r w:rsidR="00C347D9">
              <w:t xml:space="preserve"> (69,2 %)</w:t>
            </w:r>
            <w:r>
              <w:t>, Pourcentage de membres des ménages dans les foyers/logements utilisant de l’eau de sources non améliorées qui utilisent une méthode de traitement appropriée</w:t>
            </w:r>
            <w:r w:rsidR="00C347D9">
              <w:t xml:space="preserve"> (25,4 %)</w:t>
            </w:r>
            <w:r>
              <w:t>,</w:t>
            </w:r>
            <w:r w:rsidR="00C347D9">
              <w:t xml:space="preserve"> </w:t>
            </w:r>
            <w:r w:rsidR="00532D62">
              <w:t>Pourcentage de ménages qui ont du savon ou tout autre produit pour se laver</w:t>
            </w:r>
            <w:r w:rsidR="00C347D9">
              <w:t xml:space="preserve"> (33,6 %)</w:t>
            </w:r>
            <w:r w:rsidR="00D03EE3">
              <w:rPr>
                <w:sz w:val="24"/>
                <w:szCs w:val="24"/>
              </w:rPr>
              <w:t>.</w:t>
            </w:r>
          </w:p>
          <w:p w14:paraId="072BD519" w14:textId="68ADF280" w:rsidR="00840348" w:rsidRDefault="006B1664"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Santé de la reproduction </w:t>
            </w:r>
          </w:p>
          <w:p w14:paraId="0AF9B19C" w14:textId="75740D63" w:rsidR="00840348" w:rsidRDefault="006B1664"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sidRPr="006B1664">
              <w:rPr>
                <w:b/>
                <w:sz w:val="24"/>
                <w:szCs w:val="24"/>
              </w:rPr>
              <w:t>Contraception et besoins non satisfaits</w:t>
            </w:r>
          </w:p>
          <w:p w14:paraId="00327FA9" w14:textId="7928B31A" w:rsidR="006B1664" w:rsidRPr="006B1664" w:rsidRDefault="00DE7E5B"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t xml:space="preserve">En 2015, </w:t>
            </w:r>
            <w:r w:rsidR="006B1664">
              <w:t>Taux brut de natalité des femmes âgées de 15-49 ans</w:t>
            </w:r>
            <w:r w:rsidR="00C347D9">
              <w:t xml:space="preserve"> (38,4 </w:t>
            </w:r>
            <w:r w:rsidR="00C347D9" w:rsidRPr="004B39E7">
              <w:rPr>
                <w:rFonts w:ascii="Arial Narrow" w:hAnsi="Arial Narrow"/>
                <w:color w:val="000000"/>
              </w:rPr>
              <w:t>‰</w:t>
            </w:r>
            <w:r w:rsidR="00C347D9">
              <w:rPr>
                <w:rFonts w:ascii="Arial Narrow" w:hAnsi="Arial Narrow"/>
                <w:color w:val="000000"/>
              </w:rPr>
              <w:t>)</w:t>
            </w:r>
            <w:r w:rsidR="006B1664">
              <w:t>, Indice synthétique de fécondité des femmes de 15-49 ans, Pourcentage de femmes âgées de 20-24 ans qui ont eu au moins une naissance vivante avant l’âge de 18 ans</w:t>
            </w:r>
            <w:r>
              <w:t xml:space="preserve"> (36,5 %)</w:t>
            </w:r>
            <w:r w:rsidR="006B1664">
              <w:t>, Pourcentage de femmes de 15-49 ans actuellement mariées ou en union qui utilisent (ou dont le partenaire utilise) une méthode de contraception (traditionnelle ou moderne)</w:t>
            </w:r>
            <w:r>
              <w:t xml:space="preserve"> (15,6 %)</w:t>
            </w:r>
            <w:r w:rsidR="006B1664">
              <w:t xml:space="preserve">, Pourcentage de femmes de 15-49 ans actuellement mariées ou en union qui sont fécondes et veulent espacer leurs </w:t>
            </w:r>
            <w:r w:rsidR="006B1664">
              <w:lastRenderedPageBreak/>
              <w:t>naissances ou limiter le nombre d’enfants et qui n’utilisent pas actuellement une méthode de contraception</w:t>
            </w:r>
            <w:r>
              <w:t xml:space="preserve"> (15,8 %)</w:t>
            </w:r>
            <w:r w:rsidR="006B1664">
              <w:t>.</w:t>
            </w:r>
          </w:p>
          <w:p w14:paraId="143B71FF" w14:textId="225AB493" w:rsidR="00840348" w:rsidRPr="00840348" w:rsidRDefault="006B1664"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Santé maternelle et du nouveau-né</w:t>
            </w:r>
          </w:p>
          <w:p w14:paraId="104D695A" w14:textId="5E289E88" w:rsidR="00840348" w:rsidRDefault="006B1664" w:rsidP="00DE02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 xml:space="preserve">Pourcentage de femmes de 15-49 ans avec une naissance vivante dans les deux dernières années qui ont été suivies durant leur dernière grossesse ayant abouti à une naissance vivante : (a) au moins une fois par un personnel de santé qualifié </w:t>
            </w:r>
            <w:r w:rsidR="00DE7E5B">
              <w:t xml:space="preserve">(47,9 %) </w:t>
            </w:r>
            <w:r>
              <w:t>(b) au moins 4 fois par n’importe quel prestataire de santé</w:t>
            </w:r>
            <w:r w:rsidR="00DE7E5B">
              <w:t xml:space="preserve"> (38,0 %</w:t>
            </w:r>
            <w:r>
              <w:t>, Pourcentage de femmes de 15-49 ans avec une naissance vivante dans les deux dernières années qui ont été assistées durant l’accouchement de la plus récente naissance vivante par du personnel de santé qualifié : médecin/sage-femme/infirmier(e)</w:t>
            </w:r>
            <w:r w:rsidR="00DE7E5B">
              <w:t xml:space="preserve"> (43,7 %)</w:t>
            </w:r>
            <w:r>
              <w:t xml:space="preserve">, </w:t>
            </w:r>
            <w:r w:rsidR="00565930">
              <w:t>Pourcentage de femmes de 15-49 ans dont la plus récente naissance vivante au cours des deux dernières années a été accouchée dans un centre de santé</w:t>
            </w:r>
            <w:r w:rsidR="00DE7E5B">
              <w:t xml:space="preserve"> (64,5 %)</w:t>
            </w:r>
            <w:r w:rsidR="00794B68">
              <w:rPr>
                <w:sz w:val="24"/>
                <w:szCs w:val="24"/>
              </w:rPr>
              <w:t xml:space="preserve">. </w:t>
            </w:r>
          </w:p>
          <w:p w14:paraId="04CF5121" w14:textId="1B85FA24" w:rsidR="00532D62" w:rsidRDefault="00565930"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Développement de l’enfant</w:t>
            </w:r>
          </w:p>
          <w:p w14:paraId="59AF2A95" w14:textId="13D3D5C6" w:rsidR="00565930" w:rsidRDefault="00565930"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Pourcentage d’enfants de 36-59 mois qui fréquentent un programme d’instruction préscolaire</w:t>
            </w:r>
            <w:r w:rsidR="00DE7E5B">
              <w:t xml:space="preserve"> (5,3 %)</w:t>
            </w:r>
            <w:r>
              <w:t>, Pourcentage d’enfants de moins de 5 ans qui ont au moins 3 livres d’enfants</w:t>
            </w:r>
            <w:r w:rsidR="00DE7E5B">
              <w:t xml:space="preserve"> (0,3 %)</w:t>
            </w:r>
            <w:r>
              <w:t>, Pourcentage d’enfants de 36-59 mois qui sont sur la bonne voie de développement dans au moins trois des quatre domaines suivants : lecture-calcul, physique, socioaffectif, apprentissage</w:t>
            </w:r>
            <w:r w:rsidR="00DE7E5B">
              <w:t xml:space="preserve"> (61,6 %)</w:t>
            </w:r>
            <w:r>
              <w:t xml:space="preserve">. </w:t>
            </w:r>
          </w:p>
          <w:p w14:paraId="53799253" w14:textId="1D22D0AA" w:rsidR="00532D62" w:rsidRPr="00840348" w:rsidRDefault="00565930"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Alphabétisation et Education</w:t>
            </w:r>
          </w:p>
          <w:p w14:paraId="716D9733" w14:textId="65820CCC" w:rsidR="00BB6CAB" w:rsidRDefault="00BB6CAB"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Taux d’alphabétisation des jeunes</w:t>
            </w:r>
            <w:r w:rsidR="004439A8">
              <w:t xml:space="preserve"> est de 34,9 % chez les femmes et de 48,0 % pour les hommes</w:t>
            </w:r>
            <w:r>
              <w:t>, Taux net d’admission à l’école primaire</w:t>
            </w:r>
            <w:r w:rsidR="004439A8">
              <w:t xml:space="preserve"> (36,3 %)</w:t>
            </w:r>
            <w:r>
              <w:t>, Taux net de fréquentation du primaire</w:t>
            </w:r>
            <w:r w:rsidR="004439A8">
              <w:t xml:space="preserve"> (52,1 %)</w:t>
            </w:r>
            <w:r>
              <w:t xml:space="preserve">, </w:t>
            </w:r>
            <w:r w:rsidR="00A060B5">
              <w:t>Taux d’achèvement du primaire</w:t>
            </w:r>
            <w:r w:rsidR="004439A8">
              <w:t xml:space="preserve"> (47,3 %)</w:t>
            </w:r>
            <w:r w:rsidR="00A060B5">
              <w:t>, Indice de parité entre les sexes (niveau primaire)</w:t>
            </w:r>
            <w:r w:rsidR="004439A8">
              <w:t xml:space="preserve"> (0,85)</w:t>
            </w:r>
            <w:r w:rsidR="00A060B5">
              <w:t>.</w:t>
            </w:r>
          </w:p>
          <w:p w14:paraId="72C47125" w14:textId="1C927361" w:rsidR="00532D62" w:rsidRDefault="00022E8F"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Protection de l’enfant</w:t>
            </w:r>
          </w:p>
          <w:p w14:paraId="3961207D" w14:textId="67FF31AF" w:rsidR="00022E8F" w:rsidRDefault="00022E8F"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Enregistrement des naissances </w:t>
            </w:r>
          </w:p>
          <w:p w14:paraId="7646E0C4" w14:textId="720409C3" w:rsidR="00022E8F" w:rsidRDefault="004439A8"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 xml:space="preserve">En 2015, </w:t>
            </w:r>
            <w:r w:rsidR="00022E8F">
              <w:t>Pourcentage d'enfants de moins de 5 ans dont la naissance a été rapportée comme enregistrée</w:t>
            </w:r>
            <w:r>
              <w:t xml:space="preserve"> (87,2 %)</w:t>
            </w:r>
            <w:r w:rsidR="00022E8F">
              <w:t xml:space="preserve">. </w:t>
            </w:r>
          </w:p>
          <w:p w14:paraId="2292B61C" w14:textId="27A36A2E" w:rsidR="00532D62" w:rsidRPr="00840348" w:rsidRDefault="00CB473B"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Travail des enfants</w:t>
            </w:r>
          </w:p>
          <w:p w14:paraId="7956985C" w14:textId="7E710D7F" w:rsidR="00532D62" w:rsidRDefault="00CB473B" w:rsidP="00532D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d’enfants âgés de 5-17 ans qui sont impliqués dans le travail des enfants</w:t>
            </w:r>
            <w:r w:rsidR="004439A8">
              <w:t xml:space="preserve"> (55,8 %)</w:t>
            </w:r>
            <w:r w:rsidR="00532D62">
              <w:rPr>
                <w:sz w:val="24"/>
                <w:szCs w:val="24"/>
              </w:rPr>
              <w:t>.</w:t>
            </w:r>
          </w:p>
          <w:p w14:paraId="0A1FED9F" w14:textId="70E2E763" w:rsidR="00022E8F" w:rsidRDefault="00CB473B"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Mariage précoce et Polygamie</w:t>
            </w:r>
          </w:p>
          <w:p w14:paraId="4447E840" w14:textId="47D77540" w:rsidR="00CB473B" w:rsidRDefault="00CB473B"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Pourcentage de personnes de 15-49 ans qui ont été mariées ou en union avant l’âge de 15 ans : (a) Femmes</w:t>
            </w:r>
            <w:r w:rsidR="004439A8">
              <w:t xml:space="preserve"> (16,1 %)</w:t>
            </w:r>
            <w:r>
              <w:t xml:space="preserve"> (b) Hommes</w:t>
            </w:r>
            <w:r w:rsidR="004439A8">
              <w:t xml:space="preserve"> (1,3 %)</w:t>
            </w:r>
            <w:r>
              <w:t>, Pourcentage de personnes de 20-49 ans qui ont été mariées ou en union avant l’âge de 18 ans : (a) Femmes</w:t>
            </w:r>
            <w:r w:rsidR="00BA0897">
              <w:t xml:space="preserve"> (48,9 %)</w:t>
            </w:r>
            <w:r>
              <w:t xml:space="preserve"> (b) Hommes</w:t>
            </w:r>
            <w:r w:rsidR="00BA0897">
              <w:t xml:space="preserve"> (4,3 %)</w:t>
            </w:r>
            <w:r>
              <w:t>, Pourcentage de personnes de 15-49 ans qui sont dans une union polygame : (a) Femmes</w:t>
            </w:r>
            <w:r w:rsidR="00BA0897">
              <w:t xml:space="preserve"> (40,3 %)</w:t>
            </w:r>
            <w:r>
              <w:t xml:space="preserve"> (b) Hommes</w:t>
            </w:r>
            <w:r w:rsidR="00BA0897">
              <w:t xml:space="preserve"> (21,0 %)</w:t>
            </w:r>
            <w:r>
              <w:t xml:space="preserve">, </w:t>
            </w:r>
          </w:p>
          <w:p w14:paraId="3D1882B1" w14:textId="3558A1EC" w:rsidR="00022E8F" w:rsidRPr="00840348" w:rsidRDefault="00CB473B"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Mutilation génitale féminine/Excision</w:t>
            </w:r>
          </w:p>
          <w:p w14:paraId="76472E1B" w14:textId="48B5E206" w:rsidR="00022E8F" w:rsidRDefault="00AF5EEF"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t>Pourcentage de femmes de 15-49 ans qui déclarent avoir subi n'importe quelle forme de MGF/E</w:t>
            </w:r>
            <w:r w:rsidR="00BA0897">
              <w:t xml:space="preserve"> (82,7 %)</w:t>
            </w:r>
            <w:r>
              <w:t>, Pourcentage de filles de 0-14 ans qui ont subi n'importe quelle forme de MGF/E tel que rapporté par les mères de 15-49 ans</w:t>
            </w:r>
            <w:r w:rsidR="00BA0897">
              <w:t xml:space="preserve"> (76,4 %)</w:t>
            </w:r>
            <w:r w:rsidR="00022E8F">
              <w:rPr>
                <w:sz w:val="24"/>
                <w:szCs w:val="24"/>
              </w:rPr>
              <w:t>.</w:t>
            </w:r>
          </w:p>
          <w:p w14:paraId="23C0C7A2" w14:textId="43C72419" w:rsidR="00022E8F" w:rsidRDefault="00AF5EEF"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Comportement sexuel</w:t>
            </w:r>
          </w:p>
          <w:p w14:paraId="5E611040" w14:textId="59EE78DC" w:rsidR="00AF5EEF" w:rsidRDefault="00AF5EEF"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Pourcentage de jeunes de 15-24 ans jamais mariés ou en union et qui n’ont jamais eu de relations sexuelles : (a) Femmes</w:t>
            </w:r>
            <w:r w:rsidR="00BA0897">
              <w:t xml:space="preserve"> (69,5 %)</w:t>
            </w:r>
            <w:r>
              <w:t xml:space="preserve"> (b) Hommes</w:t>
            </w:r>
            <w:r w:rsidR="00BA0897">
              <w:t xml:space="preserve"> </w:t>
            </w:r>
            <w:r w:rsidR="00BA0897">
              <w:lastRenderedPageBreak/>
              <w:t>(66,4 %)</w:t>
            </w:r>
            <w:r>
              <w:t>, Pourcentage de jeunes de 15-24 ans qui ont eu des relations sexuelles avant 15 ans : (a) Femmes</w:t>
            </w:r>
            <w:r w:rsidR="00BA0897">
              <w:t xml:space="preserve"> (13,8 %)</w:t>
            </w:r>
            <w:r>
              <w:t xml:space="preserve"> (b) Hommes</w:t>
            </w:r>
            <w:r w:rsidR="00BA0897">
              <w:t xml:space="preserve"> (6,0 %)</w:t>
            </w:r>
            <w:r>
              <w:t>.</w:t>
            </w:r>
          </w:p>
          <w:p w14:paraId="554CDDC5" w14:textId="78DE4292" w:rsidR="00022E8F" w:rsidRDefault="00AF5EEF"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Accès aux médias</w:t>
            </w:r>
          </w:p>
          <w:p w14:paraId="01ACE044" w14:textId="550AECBD" w:rsidR="00AF5EEF" w:rsidRDefault="00AF5EEF"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t>Pourcentage de personnes de 15-49 ans qui, au moins une fois par semaine, lisent un journal ou un magazine, écoutent la radio et regar</w:t>
            </w:r>
            <w:r w:rsidR="00BA0897">
              <w:t xml:space="preserve">dent la télévision : (a) Femmes (5,0 %) </w:t>
            </w:r>
            <w:r>
              <w:t>(b) Hommes</w:t>
            </w:r>
            <w:r w:rsidR="00BA0897">
              <w:t xml:space="preserve"> (9,4 %)</w:t>
            </w:r>
            <w:r>
              <w:t>.</w:t>
            </w:r>
          </w:p>
          <w:p w14:paraId="55BA16DC" w14:textId="66D4737B" w:rsidR="00AF5EEF" w:rsidRDefault="00AF5EEF" w:rsidP="00AF5E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Utilisation des technologies de l’information et de la communication</w:t>
            </w:r>
          </w:p>
          <w:p w14:paraId="57249CF3" w14:textId="723F0910" w:rsidR="00AF5EEF" w:rsidRDefault="00AF5EEF" w:rsidP="00AF5E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Pourcentage de jeunes de 15-24 ans qui ont utilisé un ordinateur durant les 12 derniers mois : (a) Femmes</w:t>
            </w:r>
            <w:r w:rsidR="00BA0897">
              <w:t xml:space="preserve"> (7,2 %)</w:t>
            </w:r>
            <w:r>
              <w:t xml:space="preserve"> (b) Hommes</w:t>
            </w:r>
            <w:r w:rsidR="00BA0897">
              <w:t xml:space="preserve"> (14,2 %)</w:t>
            </w:r>
          </w:p>
          <w:p w14:paraId="26E94353" w14:textId="22249D4B" w:rsidR="00AF5EEF" w:rsidRDefault="00A124EE" w:rsidP="00AF5E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Consommation de tabacs</w:t>
            </w:r>
          </w:p>
          <w:p w14:paraId="71B30FE6" w14:textId="3C1B5840" w:rsidR="00A124EE" w:rsidRPr="00840348" w:rsidRDefault="00A124EE" w:rsidP="00AF5E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t>Pourcentage de personnes de 15-49 ans qui ont fumé des cigarettes ou ont consommé des produits à base de tabac qui se fument ou non n’importe quand durant le mois précédent : (a) Femmes</w:t>
            </w:r>
            <w:r w:rsidR="00BA0897">
              <w:t xml:space="preserve"> (0,7 %)</w:t>
            </w:r>
            <w:r>
              <w:t xml:space="preserve"> (b) Hommes</w:t>
            </w:r>
            <w:r w:rsidR="00BA0897">
              <w:t xml:space="preserve"> (16,5 %)</w:t>
            </w:r>
            <w:r>
              <w:t>, Pourcentage de personnes de 15-49 ans qui ont fumé une cigarette entière avant l’âge de 15 ans : (a) Femmes</w:t>
            </w:r>
            <w:r w:rsidR="00BA0897">
              <w:t xml:space="preserve"> (0,2 %)</w:t>
            </w:r>
            <w:r>
              <w:t xml:space="preserve"> (b) Hommes</w:t>
            </w:r>
            <w:r w:rsidR="00BA0897">
              <w:t xml:space="preserve"> (3,8 %)</w:t>
            </w:r>
            <w:r>
              <w:t xml:space="preserve">.  </w:t>
            </w:r>
          </w:p>
          <w:p w14:paraId="5DC88C62" w14:textId="4F1A15D9" w:rsidR="00AF5EEF" w:rsidRDefault="00A124EE" w:rsidP="00AF5E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Consommation de l’alcool</w:t>
            </w:r>
          </w:p>
          <w:p w14:paraId="57D027F0" w14:textId="30E1904E" w:rsidR="00022E8F" w:rsidRPr="00A124EE" w:rsidRDefault="00A124EE" w:rsidP="00022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Pourcentage de personnes de 15-49 ans qui ont bu au moins une boisson alcoolisée n’importe quand durant le mois précédent : (a) Femmes</w:t>
            </w:r>
            <w:r w:rsidR="00BA0897">
              <w:t xml:space="preserve"> (1,1 %)</w:t>
            </w:r>
            <w:r>
              <w:t xml:space="preserve"> (b) Hommes</w:t>
            </w:r>
            <w:r w:rsidR="00BA0897">
              <w:t xml:space="preserve"> (3,8 %)</w:t>
            </w:r>
            <w:r>
              <w:t>, Pourcentage de personnes de 15-49 ans qui ont bu au moins un breuvage alcoolisé avant l’âge de 15 ans : (a) Femmes</w:t>
            </w:r>
            <w:r w:rsidR="00BA0897">
              <w:t xml:space="preserve"> (1,2 %)</w:t>
            </w:r>
            <w:r>
              <w:t xml:space="preserve"> (b) Hommes</w:t>
            </w:r>
            <w:r w:rsidR="00BA0897">
              <w:t xml:space="preserve"> (2,1 %)</w:t>
            </w:r>
            <w:r>
              <w:t>.</w:t>
            </w:r>
          </w:p>
        </w:tc>
      </w:tr>
      <w:tr w:rsidR="00FC3E4E" w:rsidRPr="000D614F" w14:paraId="4E7EC51A" w14:textId="77777777" w:rsidTr="005D1D6E">
        <w:trPr>
          <w:trHeight w:val="219"/>
        </w:trPr>
        <w:tc>
          <w:tcPr>
            <w:cnfStyle w:val="001000000000" w:firstRow="0" w:lastRow="0" w:firstColumn="1" w:lastColumn="0" w:oddVBand="0" w:evenVBand="0" w:oddHBand="0" w:evenHBand="0" w:firstRowFirstColumn="0" w:firstRowLastColumn="0" w:lastRowFirstColumn="0" w:lastRowLastColumn="0"/>
            <w:tcW w:w="232" w:type="pct"/>
            <w:vAlign w:val="center"/>
          </w:tcPr>
          <w:p w14:paraId="721DB4D1" w14:textId="7E7F1DB6" w:rsidR="00FC3E4E" w:rsidRPr="000D614F" w:rsidRDefault="004B4D47" w:rsidP="00B82C3E">
            <w:pPr>
              <w:rPr>
                <w:b w:val="0"/>
                <w:sz w:val="24"/>
                <w:szCs w:val="24"/>
              </w:rPr>
            </w:pPr>
            <w:r>
              <w:rPr>
                <w:b w:val="0"/>
                <w:sz w:val="24"/>
                <w:szCs w:val="24"/>
              </w:rPr>
              <w:lastRenderedPageBreak/>
              <w:t>P</w:t>
            </w:r>
          </w:p>
        </w:tc>
        <w:tc>
          <w:tcPr>
            <w:tcW w:w="1464" w:type="pct"/>
            <w:vAlign w:val="center"/>
          </w:tcPr>
          <w:p w14:paraId="78AEAE55" w14:textId="09A52BC5" w:rsidR="00FC3E4E" w:rsidRPr="00B61243"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B61243">
              <w:rPr>
                <w:bCs/>
                <w:sz w:val="24"/>
                <w:szCs w:val="24"/>
              </w:rPr>
              <w:t>Utilisateurs (Cibles)</w:t>
            </w:r>
          </w:p>
        </w:tc>
        <w:tc>
          <w:tcPr>
            <w:tcW w:w="3304" w:type="pct"/>
            <w:vAlign w:val="center"/>
          </w:tcPr>
          <w:p w14:paraId="6062EF2F" w14:textId="3056C9FE" w:rsidR="00FC3E4E" w:rsidRPr="000D614F" w:rsidRDefault="001023FF"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Les programmes de protection et de développement de l’enfant, de l’amélioration des conditions féminines et du bien-être du ménage. </w:t>
            </w:r>
            <w:r w:rsidR="00FB2D76">
              <w:rPr>
                <w:sz w:val="24"/>
                <w:szCs w:val="24"/>
              </w:rPr>
              <w:t xml:space="preserve">   </w:t>
            </w:r>
          </w:p>
        </w:tc>
      </w:tr>
      <w:tr w:rsidR="00FC3E4E" w:rsidRPr="000D614F" w14:paraId="229E8B8E" w14:textId="77777777" w:rsidTr="005D1D6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2" w:type="pct"/>
            <w:vAlign w:val="center"/>
          </w:tcPr>
          <w:p w14:paraId="705C46EA" w14:textId="77777777" w:rsidR="00FC3E4E" w:rsidRPr="000D614F" w:rsidRDefault="00FC3E4E" w:rsidP="00B82C3E">
            <w:pPr>
              <w:rPr>
                <w:b w:val="0"/>
                <w:sz w:val="24"/>
                <w:szCs w:val="24"/>
              </w:rPr>
            </w:pPr>
            <w:r w:rsidRPr="000D614F">
              <w:rPr>
                <w:b w:val="0"/>
                <w:sz w:val="24"/>
                <w:szCs w:val="24"/>
              </w:rPr>
              <w:t>7</w:t>
            </w:r>
          </w:p>
        </w:tc>
        <w:tc>
          <w:tcPr>
            <w:tcW w:w="1464" w:type="pct"/>
            <w:vAlign w:val="center"/>
          </w:tcPr>
          <w:p w14:paraId="1F19825C" w14:textId="5DEA195D"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Fréquence de production</w:t>
            </w:r>
            <w:r w:rsidR="003465DD" w:rsidRPr="000D614F">
              <w:rPr>
                <w:sz w:val="24"/>
                <w:szCs w:val="24"/>
              </w:rPr>
              <w:t>/Publication</w:t>
            </w:r>
          </w:p>
        </w:tc>
        <w:tc>
          <w:tcPr>
            <w:tcW w:w="3304" w:type="pct"/>
            <w:vAlign w:val="center"/>
          </w:tcPr>
          <w:p w14:paraId="30AAC6EF" w14:textId="7C3360CD" w:rsidR="00FC3E4E" w:rsidRPr="000D614F" w:rsidRDefault="001023FF" w:rsidP="00BA1F57">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Cette enquête devrait être réalisée tous les 5 ans mais cette périodicité n’est pas respectée. </w:t>
            </w:r>
          </w:p>
        </w:tc>
      </w:tr>
      <w:tr w:rsidR="00245BB8" w:rsidRPr="000D614F" w14:paraId="0AA46225" w14:textId="77777777" w:rsidTr="005D1D6E">
        <w:trPr>
          <w:trHeight w:val="196"/>
        </w:trPr>
        <w:tc>
          <w:tcPr>
            <w:cnfStyle w:val="001000000000" w:firstRow="0" w:lastRow="0" w:firstColumn="1" w:lastColumn="0" w:oddVBand="0" w:evenVBand="0" w:oddHBand="0" w:evenHBand="0" w:firstRowFirstColumn="0" w:firstRowLastColumn="0" w:lastRowFirstColumn="0" w:lastRowLastColumn="0"/>
            <w:tcW w:w="232" w:type="pct"/>
            <w:vAlign w:val="center"/>
          </w:tcPr>
          <w:p w14:paraId="3BB17291" w14:textId="5B6C87D9" w:rsidR="00245BB8" w:rsidRPr="000D614F" w:rsidRDefault="00245BB8" w:rsidP="00245BB8">
            <w:pPr>
              <w:rPr>
                <w:sz w:val="24"/>
                <w:szCs w:val="24"/>
              </w:rPr>
            </w:pPr>
            <w:r w:rsidRPr="000D614F">
              <w:rPr>
                <w:b w:val="0"/>
                <w:sz w:val="24"/>
                <w:szCs w:val="24"/>
              </w:rPr>
              <w:t>8</w:t>
            </w:r>
          </w:p>
        </w:tc>
        <w:tc>
          <w:tcPr>
            <w:tcW w:w="1464" w:type="pct"/>
            <w:vAlign w:val="center"/>
          </w:tcPr>
          <w:p w14:paraId="21850184" w14:textId="778B5609"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Thématiques couvertes</w:t>
            </w:r>
          </w:p>
        </w:tc>
        <w:tc>
          <w:tcPr>
            <w:tcW w:w="3304" w:type="pct"/>
            <w:vAlign w:val="center"/>
          </w:tcPr>
          <w:p w14:paraId="694DE693" w14:textId="77777777" w:rsidR="003404FB" w:rsidRPr="00141DCA" w:rsidRDefault="003404FB" w:rsidP="003404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Mortalité des enfants</w:t>
            </w:r>
          </w:p>
          <w:p w14:paraId="732A40A3" w14:textId="77777777" w:rsidR="003404FB" w:rsidRPr="00141DCA" w:rsidRDefault="003404FB" w:rsidP="003404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 xml:space="preserve">Nutrition </w:t>
            </w:r>
          </w:p>
          <w:p w14:paraId="5F67609F" w14:textId="77777777" w:rsidR="003404FB" w:rsidRPr="00141DCA" w:rsidRDefault="003404FB" w:rsidP="003404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 xml:space="preserve">Vaccination </w:t>
            </w:r>
          </w:p>
          <w:p w14:paraId="465C9A05" w14:textId="77777777" w:rsidR="003404FB" w:rsidRPr="00141DCA" w:rsidRDefault="003404FB" w:rsidP="003404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Vaccin antitétanique</w:t>
            </w:r>
          </w:p>
          <w:p w14:paraId="528827BD" w14:textId="77777777" w:rsidR="003404FB" w:rsidRPr="00141DCA" w:rsidRDefault="003404FB" w:rsidP="003404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Diarrhée</w:t>
            </w:r>
          </w:p>
          <w:p w14:paraId="7EE46B77" w14:textId="77777777" w:rsidR="003404FB" w:rsidRPr="00141DCA" w:rsidRDefault="003404FB" w:rsidP="003404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 xml:space="preserve">Symptômes d’une infection respiratoire aigüe (IRA) </w:t>
            </w:r>
          </w:p>
          <w:p w14:paraId="757E95F6"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Utilisation de combustibles solides</w:t>
            </w:r>
          </w:p>
          <w:p w14:paraId="40E82A94"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Paludisme et Fièvre</w:t>
            </w:r>
          </w:p>
          <w:p w14:paraId="5D972C74"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Eau et Assainissement</w:t>
            </w:r>
          </w:p>
          <w:p w14:paraId="37C125DC" w14:textId="77777777" w:rsidR="00245BB8"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Contraception et besoins non satisfaits</w:t>
            </w:r>
          </w:p>
          <w:p w14:paraId="1625A115"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Santé maternelle et du nouveau-né</w:t>
            </w:r>
          </w:p>
          <w:p w14:paraId="15850F11"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Développement de l’enfant</w:t>
            </w:r>
          </w:p>
          <w:p w14:paraId="01A79706"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Alphabétisation et Education</w:t>
            </w:r>
          </w:p>
          <w:p w14:paraId="0761EB80"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 xml:space="preserve">Enregistrement des naissances </w:t>
            </w:r>
          </w:p>
          <w:p w14:paraId="1F0D1BB8"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Travail des enfants</w:t>
            </w:r>
          </w:p>
          <w:p w14:paraId="29B8F589"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Mariage précoce et Polygamie</w:t>
            </w:r>
          </w:p>
          <w:p w14:paraId="087994C3"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Mutilation génitale féminine/Excision</w:t>
            </w:r>
          </w:p>
          <w:p w14:paraId="1C4F8A94"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Comportement sexuel</w:t>
            </w:r>
          </w:p>
          <w:p w14:paraId="3197B627"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Accès aux médias</w:t>
            </w:r>
          </w:p>
          <w:p w14:paraId="79B2012D"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Utilisation des technologies de l’information et de la communication</w:t>
            </w:r>
          </w:p>
          <w:p w14:paraId="12DCE62F" w14:textId="77777777"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lastRenderedPageBreak/>
              <w:t>Consommation de tabacs</w:t>
            </w:r>
          </w:p>
          <w:p w14:paraId="0697DA75" w14:textId="1E62AC1C" w:rsidR="00141DCA" w:rsidRPr="00141DCA" w:rsidRDefault="00141DCA" w:rsidP="00141D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141DCA">
              <w:rPr>
                <w:sz w:val="24"/>
                <w:szCs w:val="24"/>
              </w:rPr>
              <w:t>Consommation de l’alcool</w:t>
            </w:r>
          </w:p>
        </w:tc>
      </w:tr>
      <w:tr w:rsidR="00245BB8" w:rsidRPr="000D614F" w14:paraId="05881DFE" w14:textId="77777777" w:rsidTr="005D1D6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2" w:type="pct"/>
            <w:vAlign w:val="center"/>
          </w:tcPr>
          <w:p w14:paraId="375C7A10" w14:textId="28334903" w:rsidR="00245BB8" w:rsidRPr="000D614F" w:rsidRDefault="00840348" w:rsidP="00245BB8">
            <w:pPr>
              <w:rPr>
                <w:b w:val="0"/>
                <w:sz w:val="24"/>
                <w:szCs w:val="24"/>
              </w:rPr>
            </w:pPr>
            <w:r>
              <w:rPr>
                <w:b w:val="0"/>
                <w:sz w:val="24"/>
                <w:szCs w:val="24"/>
              </w:rPr>
              <w:lastRenderedPageBreak/>
              <w:t>P</w:t>
            </w:r>
          </w:p>
        </w:tc>
        <w:tc>
          <w:tcPr>
            <w:tcW w:w="1464" w:type="pct"/>
            <w:vAlign w:val="center"/>
          </w:tcPr>
          <w:p w14:paraId="71C3897B" w14:textId="2344FBE1" w:rsidR="00245BB8" w:rsidRPr="000D614F" w:rsidRDefault="00245BB8" w:rsidP="00DD1816">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 xml:space="preserve">Niveau de désagrégation géographique </w:t>
            </w:r>
          </w:p>
        </w:tc>
        <w:tc>
          <w:tcPr>
            <w:tcW w:w="3304" w:type="pct"/>
            <w:vAlign w:val="center"/>
          </w:tcPr>
          <w:p w14:paraId="757E336F" w14:textId="2A743580" w:rsidR="00245BB8" w:rsidRPr="000D614F" w:rsidRDefault="00776886" w:rsidP="008403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National, </w:t>
            </w:r>
            <w:r w:rsidR="00794B68">
              <w:rPr>
                <w:sz w:val="24"/>
                <w:szCs w:val="24"/>
              </w:rPr>
              <w:t>Région, Milieu de résidence</w:t>
            </w:r>
          </w:p>
        </w:tc>
      </w:tr>
      <w:tr w:rsidR="00245BB8" w:rsidRPr="000D614F" w14:paraId="1BD021E5" w14:textId="77777777" w:rsidTr="005D1D6E">
        <w:trPr>
          <w:trHeight w:val="196"/>
        </w:trPr>
        <w:tc>
          <w:tcPr>
            <w:cnfStyle w:val="001000000000" w:firstRow="0" w:lastRow="0" w:firstColumn="1" w:lastColumn="0" w:oddVBand="0" w:evenVBand="0" w:oddHBand="0" w:evenHBand="0" w:firstRowFirstColumn="0" w:firstRowLastColumn="0" w:lastRowFirstColumn="0" w:lastRowLastColumn="0"/>
            <w:tcW w:w="232"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1464" w:type="pct"/>
            <w:vAlign w:val="center"/>
          </w:tcPr>
          <w:p w14:paraId="665B00D2" w14:textId="287FB677"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Modalités d’accès</w:t>
            </w:r>
          </w:p>
        </w:tc>
        <w:tc>
          <w:tcPr>
            <w:tcW w:w="3304" w:type="pct"/>
            <w:vAlign w:val="center"/>
          </w:tcPr>
          <w:p w14:paraId="4C3B58F2" w14:textId="0FCD372D" w:rsidR="00245BB8" w:rsidRPr="000D614F" w:rsidRDefault="00797EA0" w:rsidP="00797EA0">
            <w:pPr>
              <w:jc w:val="both"/>
              <w:cnfStyle w:val="000000000000" w:firstRow="0" w:lastRow="0" w:firstColumn="0" w:lastColumn="0" w:oddVBand="0" w:evenVBand="0" w:oddHBand="0" w:evenHBand="0" w:firstRowFirstColumn="0" w:firstRowLastColumn="0" w:lastRowFirstColumn="0" w:lastRowLastColumn="0"/>
              <w:rPr>
                <w:sz w:val="24"/>
                <w:szCs w:val="24"/>
              </w:rPr>
            </w:pPr>
            <w:r>
              <w:t xml:space="preserve">Rapport sur le site </w:t>
            </w:r>
            <w:hyperlink r:id="rId5" w:history="1">
              <w:r w:rsidR="00245BB8" w:rsidRPr="000D614F">
                <w:rPr>
                  <w:rStyle w:val="Lienhypertexte"/>
                  <w:sz w:val="24"/>
                  <w:szCs w:val="24"/>
                  <w:u w:val="none"/>
                </w:rPr>
                <w:t>www.instat-mali.org</w:t>
              </w:r>
            </w:hyperlink>
            <w:r w:rsidR="00FD43B7">
              <w:rPr>
                <w:rStyle w:val="Lienhypertexte"/>
                <w:sz w:val="24"/>
                <w:szCs w:val="24"/>
                <w:u w:val="none"/>
              </w:rPr>
              <w:t>/fr/publications</w:t>
            </w:r>
            <w:r>
              <w:rPr>
                <w:sz w:val="24"/>
                <w:szCs w:val="24"/>
              </w:rPr>
              <w:t xml:space="preserve"> ou </w:t>
            </w:r>
            <w:r w:rsidR="00245BB8" w:rsidRPr="000D614F">
              <w:rPr>
                <w:sz w:val="24"/>
                <w:szCs w:val="24"/>
              </w:rPr>
              <w:t>demande physique ou électronique à adresser au DG de l’INSTAT.</w:t>
            </w:r>
          </w:p>
        </w:tc>
      </w:tr>
      <w:tr w:rsidR="00245BB8" w:rsidRPr="000D614F" w14:paraId="101E485E" w14:textId="77777777" w:rsidTr="005D1D6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2" w:type="pct"/>
            <w:vAlign w:val="center"/>
          </w:tcPr>
          <w:p w14:paraId="51F345B5" w14:textId="0BF3B334" w:rsidR="00245BB8" w:rsidRPr="000D614F" w:rsidRDefault="00245BB8" w:rsidP="00245BB8">
            <w:pPr>
              <w:rPr>
                <w:b w:val="0"/>
                <w:color w:val="FF0000"/>
                <w:sz w:val="24"/>
                <w:szCs w:val="24"/>
              </w:rPr>
            </w:pPr>
            <w:r w:rsidRPr="000D614F">
              <w:rPr>
                <w:b w:val="0"/>
                <w:sz w:val="24"/>
                <w:szCs w:val="24"/>
              </w:rPr>
              <w:t>11</w:t>
            </w:r>
          </w:p>
        </w:tc>
        <w:tc>
          <w:tcPr>
            <w:tcW w:w="1464"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3304" w:type="pct"/>
            <w:vAlign w:val="center"/>
          </w:tcPr>
          <w:p w14:paraId="52EAADE7" w14:textId="229EB929" w:rsidR="00245BB8" w:rsidRPr="000D614F" w:rsidRDefault="00245BB8" w:rsidP="00797EA0">
            <w:pPr>
              <w:jc w:val="both"/>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Ve</w:t>
            </w:r>
            <w:r w:rsidR="00797EA0">
              <w:rPr>
                <w:sz w:val="24"/>
                <w:szCs w:val="24"/>
              </w:rPr>
              <w:t>rsion n</w:t>
            </w:r>
            <w:r w:rsidR="00796F26">
              <w:rPr>
                <w:sz w:val="24"/>
                <w:szCs w:val="24"/>
              </w:rPr>
              <w:t>umérique en format PDF</w:t>
            </w:r>
            <w:r w:rsidR="00797EA0">
              <w:rPr>
                <w:sz w:val="24"/>
                <w:szCs w:val="24"/>
              </w:rPr>
              <w:t xml:space="preserve"> et </w:t>
            </w:r>
            <w:r w:rsidR="00796F26">
              <w:rPr>
                <w:sz w:val="24"/>
                <w:szCs w:val="24"/>
              </w:rPr>
              <w:t xml:space="preserve">en version </w:t>
            </w:r>
            <w:r w:rsidR="00797EA0">
              <w:rPr>
                <w:sz w:val="24"/>
                <w:szCs w:val="24"/>
              </w:rPr>
              <w:t>papier</w:t>
            </w:r>
          </w:p>
        </w:tc>
      </w:tr>
      <w:tr w:rsidR="00245BB8" w:rsidRPr="000D614F" w14:paraId="3E76F1A0" w14:textId="77777777" w:rsidTr="005D1D6E">
        <w:trPr>
          <w:trHeight w:val="196"/>
        </w:trPr>
        <w:tc>
          <w:tcPr>
            <w:cnfStyle w:val="001000000000" w:firstRow="0" w:lastRow="0" w:firstColumn="1" w:lastColumn="0" w:oddVBand="0" w:evenVBand="0" w:oddHBand="0" w:evenHBand="0" w:firstRowFirstColumn="0" w:firstRowLastColumn="0" w:lastRowFirstColumn="0" w:lastRowLastColumn="0"/>
            <w:tcW w:w="232" w:type="pct"/>
            <w:vAlign w:val="center"/>
          </w:tcPr>
          <w:p w14:paraId="74CB02A1" w14:textId="5A03B32F" w:rsidR="00245BB8" w:rsidRPr="000D614F" w:rsidRDefault="00245BB8" w:rsidP="00245BB8">
            <w:pPr>
              <w:rPr>
                <w:b w:val="0"/>
                <w:sz w:val="24"/>
                <w:szCs w:val="24"/>
              </w:rPr>
            </w:pPr>
            <w:r w:rsidRPr="000D614F">
              <w:rPr>
                <w:b w:val="0"/>
                <w:sz w:val="24"/>
                <w:szCs w:val="24"/>
              </w:rPr>
              <w:t>12</w:t>
            </w:r>
          </w:p>
        </w:tc>
        <w:tc>
          <w:tcPr>
            <w:tcW w:w="1464" w:type="pct"/>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3304" w:type="pct"/>
            <w:vAlign w:val="center"/>
          </w:tcPr>
          <w:p w14:paraId="0C5F48C2" w14:textId="47ED52EE" w:rsidR="00245BB8" w:rsidRPr="000D614F" w:rsidRDefault="00797EA0" w:rsidP="001023FF">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L’insécurité qui rend difficile l’accès à certaines</w:t>
            </w:r>
            <w:r w:rsidR="00FD43B7">
              <w:rPr>
                <w:sz w:val="24"/>
                <w:szCs w:val="24"/>
              </w:rPr>
              <w:t xml:space="preserve"> zones de collecte des données et </w:t>
            </w:r>
            <w:r w:rsidR="001023FF">
              <w:rPr>
                <w:sz w:val="24"/>
                <w:szCs w:val="24"/>
              </w:rPr>
              <w:t xml:space="preserve">les difficultés de mobilisation des ressources financières pour réaliser cette enquête. </w:t>
            </w:r>
          </w:p>
        </w:tc>
      </w:tr>
      <w:tr w:rsidR="00245BB8" w:rsidRPr="000D614F" w14:paraId="5678B7B9" w14:textId="77777777" w:rsidTr="005D1D6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2"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1464" w:type="pct"/>
            <w:vAlign w:val="center"/>
          </w:tcPr>
          <w:p w14:paraId="1768CA19" w14:textId="75542931"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Perspectives</w:t>
            </w:r>
          </w:p>
        </w:tc>
        <w:tc>
          <w:tcPr>
            <w:tcW w:w="3304" w:type="pct"/>
            <w:vAlign w:val="center"/>
          </w:tcPr>
          <w:p w14:paraId="2A1DDB74" w14:textId="4AD31DC4" w:rsidR="00245BB8" w:rsidRPr="000D614F" w:rsidRDefault="00FD43B7" w:rsidP="00245BB8">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Valorisation des données de cette enquête avec les analyses approfondies. </w:t>
            </w:r>
          </w:p>
        </w:tc>
      </w:tr>
      <w:tr w:rsidR="00245BB8" w:rsidRPr="000D614F" w14:paraId="1004CCCA" w14:textId="77777777" w:rsidTr="005D1D6E">
        <w:trPr>
          <w:trHeight w:val="50"/>
        </w:trPr>
        <w:tc>
          <w:tcPr>
            <w:cnfStyle w:val="001000000000" w:firstRow="0" w:lastRow="0" w:firstColumn="1" w:lastColumn="0" w:oddVBand="0" w:evenVBand="0" w:oddHBand="0" w:evenHBand="0" w:firstRowFirstColumn="0" w:firstRowLastColumn="0" w:lastRowFirstColumn="0" w:lastRowLastColumn="0"/>
            <w:tcW w:w="232" w:type="pct"/>
            <w:vAlign w:val="center"/>
          </w:tcPr>
          <w:p w14:paraId="702D1217" w14:textId="358082CE" w:rsidR="00245BB8" w:rsidRPr="000D614F" w:rsidRDefault="00245BB8" w:rsidP="00245BB8">
            <w:pPr>
              <w:rPr>
                <w:b w:val="0"/>
                <w:sz w:val="24"/>
                <w:szCs w:val="24"/>
              </w:rPr>
            </w:pPr>
            <w:r w:rsidRPr="000D614F">
              <w:rPr>
                <w:b w:val="0"/>
                <w:sz w:val="24"/>
                <w:szCs w:val="24"/>
              </w:rPr>
              <w:t>14</w:t>
            </w:r>
          </w:p>
        </w:tc>
        <w:tc>
          <w:tcPr>
            <w:tcW w:w="1464" w:type="pct"/>
            <w:vAlign w:val="center"/>
          </w:tcPr>
          <w:p w14:paraId="0C1BED0D" w14:textId="5A8F8AAA"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Recommandations</w:t>
            </w:r>
          </w:p>
        </w:tc>
        <w:tc>
          <w:tcPr>
            <w:tcW w:w="3304" w:type="pct"/>
            <w:vAlign w:val="center"/>
          </w:tcPr>
          <w:p w14:paraId="2661C665" w14:textId="606FC268" w:rsidR="00245BB8" w:rsidRPr="000D614F" w:rsidRDefault="00FD43B7"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Inviter le monde universitaire à utiliser les données de cette enquête dans le cadre de leur recherche. </w:t>
            </w:r>
          </w:p>
        </w:tc>
      </w:tr>
      <w:tr w:rsidR="00B61243" w:rsidRPr="000D614F" w14:paraId="39D10889" w14:textId="77777777" w:rsidTr="005D1D6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32"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1464" w:type="pct"/>
            <w:vAlign w:val="center"/>
          </w:tcPr>
          <w:p w14:paraId="03D5EF75" w14:textId="681B2787" w:rsidR="00B61243" w:rsidRPr="000D614F" w:rsidRDefault="00B61243" w:rsidP="00B61243">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3304" w:type="pct"/>
            <w:vAlign w:val="center"/>
          </w:tcPr>
          <w:p w14:paraId="41501F64" w14:textId="38BD3224" w:rsidR="00B61243" w:rsidRPr="000D614F" w:rsidRDefault="00B61243" w:rsidP="00B61243">
            <w:pPr>
              <w:jc w:val="both"/>
              <w:cnfStyle w:val="000000100000" w:firstRow="0" w:lastRow="0" w:firstColumn="0" w:lastColumn="0" w:oddVBand="0" w:evenVBand="0" w:oddHBand="1" w:evenHBand="0" w:firstRowFirstColumn="0" w:firstRowLastColumn="0" w:lastRowFirstColumn="0" w:lastRowLastColumn="0"/>
              <w:rPr>
                <w:sz w:val="24"/>
                <w:szCs w:val="24"/>
              </w:rPr>
            </w:pPr>
          </w:p>
        </w:tc>
      </w:tr>
    </w:tbl>
    <w:p w14:paraId="7CD5982B" w14:textId="77777777" w:rsidR="00FC3E4E" w:rsidRDefault="00FC3E4E"/>
    <w:p w14:paraId="634FE917" w14:textId="7863A361" w:rsidR="00A935C5" w:rsidRPr="000D614F" w:rsidRDefault="00A935C5" w:rsidP="000D614F">
      <w:pPr>
        <w:jc w:val="both"/>
        <w:rPr>
          <w:sz w:val="24"/>
          <w:szCs w:val="24"/>
        </w:rPr>
      </w:pPr>
    </w:p>
    <w:sectPr w:rsidR="00A935C5" w:rsidRPr="000D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AD6"/>
    <w:multiLevelType w:val="hybridMultilevel"/>
    <w:tmpl w:val="1F5452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C446E4"/>
    <w:multiLevelType w:val="hybridMultilevel"/>
    <w:tmpl w:val="B0EAB3A6"/>
    <w:lvl w:ilvl="0" w:tplc="6784D0F2">
      <w:start w:val="1"/>
      <w:numFmt w:val="bullet"/>
      <w:lvlText w:val=""/>
      <w:lvlJc w:val="left"/>
      <w:pPr>
        <w:tabs>
          <w:tab w:val="num" w:pos="720"/>
        </w:tabs>
        <w:ind w:left="720" w:hanging="360"/>
      </w:pPr>
      <w:rPr>
        <w:rFonts w:ascii="Wingdings" w:hAnsi="Wingdings" w:hint="default"/>
      </w:rPr>
    </w:lvl>
    <w:lvl w:ilvl="1" w:tplc="8576735A" w:tentative="1">
      <w:start w:val="1"/>
      <w:numFmt w:val="bullet"/>
      <w:lvlText w:val=""/>
      <w:lvlJc w:val="left"/>
      <w:pPr>
        <w:tabs>
          <w:tab w:val="num" w:pos="1440"/>
        </w:tabs>
        <w:ind w:left="1440" w:hanging="360"/>
      </w:pPr>
      <w:rPr>
        <w:rFonts w:ascii="Wingdings" w:hAnsi="Wingdings" w:hint="default"/>
      </w:rPr>
    </w:lvl>
    <w:lvl w:ilvl="2" w:tplc="AC0A9854">
      <w:start w:val="1"/>
      <w:numFmt w:val="bullet"/>
      <w:lvlText w:val=""/>
      <w:lvlJc w:val="left"/>
      <w:pPr>
        <w:tabs>
          <w:tab w:val="num" w:pos="2160"/>
        </w:tabs>
        <w:ind w:left="2160" w:hanging="360"/>
      </w:pPr>
      <w:rPr>
        <w:rFonts w:ascii="Wingdings" w:hAnsi="Wingdings" w:hint="default"/>
      </w:rPr>
    </w:lvl>
    <w:lvl w:ilvl="3" w:tplc="557A9ABE">
      <w:start w:val="1"/>
      <w:numFmt w:val="decimal"/>
      <w:lvlText w:val="%4."/>
      <w:lvlJc w:val="left"/>
      <w:pPr>
        <w:tabs>
          <w:tab w:val="num" w:pos="2880"/>
        </w:tabs>
        <w:ind w:left="2880" w:hanging="360"/>
      </w:pPr>
    </w:lvl>
    <w:lvl w:ilvl="4" w:tplc="1C02F144" w:tentative="1">
      <w:start w:val="1"/>
      <w:numFmt w:val="bullet"/>
      <w:lvlText w:val=""/>
      <w:lvlJc w:val="left"/>
      <w:pPr>
        <w:tabs>
          <w:tab w:val="num" w:pos="3600"/>
        </w:tabs>
        <w:ind w:left="3600" w:hanging="360"/>
      </w:pPr>
      <w:rPr>
        <w:rFonts w:ascii="Wingdings" w:hAnsi="Wingdings" w:hint="default"/>
      </w:rPr>
    </w:lvl>
    <w:lvl w:ilvl="5" w:tplc="4558D064" w:tentative="1">
      <w:start w:val="1"/>
      <w:numFmt w:val="bullet"/>
      <w:lvlText w:val=""/>
      <w:lvlJc w:val="left"/>
      <w:pPr>
        <w:tabs>
          <w:tab w:val="num" w:pos="4320"/>
        </w:tabs>
        <w:ind w:left="4320" w:hanging="360"/>
      </w:pPr>
      <w:rPr>
        <w:rFonts w:ascii="Wingdings" w:hAnsi="Wingdings" w:hint="default"/>
      </w:rPr>
    </w:lvl>
    <w:lvl w:ilvl="6" w:tplc="238071E2" w:tentative="1">
      <w:start w:val="1"/>
      <w:numFmt w:val="bullet"/>
      <w:lvlText w:val=""/>
      <w:lvlJc w:val="left"/>
      <w:pPr>
        <w:tabs>
          <w:tab w:val="num" w:pos="5040"/>
        </w:tabs>
        <w:ind w:left="5040" w:hanging="360"/>
      </w:pPr>
      <w:rPr>
        <w:rFonts w:ascii="Wingdings" w:hAnsi="Wingdings" w:hint="default"/>
      </w:rPr>
    </w:lvl>
    <w:lvl w:ilvl="7" w:tplc="5EF68C6A" w:tentative="1">
      <w:start w:val="1"/>
      <w:numFmt w:val="bullet"/>
      <w:lvlText w:val=""/>
      <w:lvlJc w:val="left"/>
      <w:pPr>
        <w:tabs>
          <w:tab w:val="num" w:pos="5760"/>
        </w:tabs>
        <w:ind w:left="5760" w:hanging="360"/>
      </w:pPr>
      <w:rPr>
        <w:rFonts w:ascii="Wingdings" w:hAnsi="Wingdings" w:hint="default"/>
      </w:rPr>
    </w:lvl>
    <w:lvl w:ilvl="8" w:tplc="4B36EE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05E2A"/>
    <w:multiLevelType w:val="hybridMultilevel"/>
    <w:tmpl w:val="5212D010"/>
    <w:lvl w:ilvl="0" w:tplc="A724B8AA">
      <w:start w:val="1"/>
      <w:numFmt w:val="decimal"/>
      <w:lvlText w:val="%1."/>
      <w:lvlJc w:val="left"/>
      <w:pPr>
        <w:tabs>
          <w:tab w:val="num" w:pos="720"/>
        </w:tabs>
        <w:ind w:left="720" w:hanging="360"/>
      </w:pPr>
    </w:lvl>
    <w:lvl w:ilvl="1" w:tplc="EAB0F094" w:tentative="1">
      <w:start w:val="1"/>
      <w:numFmt w:val="decimal"/>
      <w:lvlText w:val="%2."/>
      <w:lvlJc w:val="left"/>
      <w:pPr>
        <w:tabs>
          <w:tab w:val="num" w:pos="1440"/>
        </w:tabs>
        <w:ind w:left="1440" w:hanging="360"/>
      </w:pPr>
    </w:lvl>
    <w:lvl w:ilvl="2" w:tplc="260879C2" w:tentative="1">
      <w:start w:val="1"/>
      <w:numFmt w:val="decimal"/>
      <w:lvlText w:val="%3."/>
      <w:lvlJc w:val="left"/>
      <w:pPr>
        <w:tabs>
          <w:tab w:val="num" w:pos="2160"/>
        </w:tabs>
        <w:ind w:left="2160" w:hanging="360"/>
      </w:pPr>
    </w:lvl>
    <w:lvl w:ilvl="3" w:tplc="9ACCFC52" w:tentative="1">
      <w:start w:val="1"/>
      <w:numFmt w:val="decimal"/>
      <w:lvlText w:val="%4."/>
      <w:lvlJc w:val="left"/>
      <w:pPr>
        <w:tabs>
          <w:tab w:val="num" w:pos="2880"/>
        </w:tabs>
        <w:ind w:left="2880" w:hanging="360"/>
      </w:pPr>
    </w:lvl>
    <w:lvl w:ilvl="4" w:tplc="792CFF14" w:tentative="1">
      <w:start w:val="1"/>
      <w:numFmt w:val="decimal"/>
      <w:lvlText w:val="%5."/>
      <w:lvlJc w:val="left"/>
      <w:pPr>
        <w:tabs>
          <w:tab w:val="num" w:pos="3600"/>
        </w:tabs>
        <w:ind w:left="3600" w:hanging="360"/>
      </w:pPr>
    </w:lvl>
    <w:lvl w:ilvl="5" w:tplc="58321178" w:tentative="1">
      <w:start w:val="1"/>
      <w:numFmt w:val="decimal"/>
      <w:lvlText w:val="%6."/>
      <w:lvlJc w:val="left"/>
      <w:pPr>
        <w:tabs>
          <w:tab w:val="num" w:pos="4320"/>
        </w:tabs>
        <w:ind w:left="4320" w:hanging="360"/>
      </w:pPr>
    </w:lvl>
    <w:lvl w:ilvl="6" w:tplc="966C21EE" w:tentative="1">
      <w:start w:val="1"/>
      <w:numFmt w:val="decimal"/>
      <w:lvlText w:val="%7."/>
      <w:lvlJc w:val="left"/>
      <w:pPr>
        <w:tabs>
          <w:tab w:val="num" w:pos="5040"/>
        </w:tabs>
        <w:ind w:left="5040" w:hanging="360"/>
      </w:pPr>
    </w:lvl>
    <w:lvl w:ilvl="7" w:tplc="F4F85D52" w:tentative="1">
      <w:start w:val="1"/>
      <w:numFmt w:val="decimal"/>
      <w:lvlText w:val="%8."/>
      <w:lvlJc w:val="left"/>
      <w:pPr>
        <w:tabs>
          <w:tab w:val="num" w:pos="5760"/>
        </w:tabs>
        <w:ind w:left="5760" w:hanging="360"/>
      </w:pPr>
    </w:lvl>
    <w:lvl w:ilvl="8" w:tplc="8E0037CC" w:tentative="1">
      <w:start w:val="1"/>
      <w:numFmt w:val="decimal"/>
      <w:lvlText w:val="%9."/>
      <w:lvlJc w:val="left"/>
      <w:pPr>
        <w:tabs>
          <w:tab w:val="num" w:pos="6480"/>
        </w:tabs>
        <w:ind w:left="6480" w:hanging="360"/>
      </w:pPr>
    </w:lvl>
  </w:abstractNum>
  <w:abstractNum w:abstractNumId="3" w15:restartNumberingAfterBreak="0">
    <w:nsid w:val="659C53E7"/>
    <w:multiLevelType w:val="hybridMultilevel"/>
    <w:tmpl w:val="1FE2935A"/>
    <w:lvl w:ilvl="0" w:tplc="74CC42BA">
      <w:start w:val="1"/>
      <w:numFmt w:val="bullet"/>
      <w:lvlText w:val=""/>
      <w:lvlJc w:val="left"/>
      <w:pPr>
        <w:tabs>
          <w:tab w:val="num" w:pos="720"/>
        </w:tabs>
        <w:ind w:left="720" w:hanging="360"/>
      </w:pPr>
      <w:rPr>
        <w:rFonts w:ascii="Wingdings" w:hAnsi="Wingdings" w:hint="default"/>
      </w:rPr>
    </w:lvl>
    <w:lvl w:ilvl="1" w:tplc="5492F2A6" w:tentative="1">
      <w:start w:val="1"/>
      <w:numFmt w:val="bullet"/>
      <w:lvlText w:val=""/>
      <w:lvlJc w:val="left"/>
      <w:pPr>
        <w:tabs>
          <w:tab w:val="num" w:pos="1440"/>
        </w:tabs>
        <w:ind w:left="1440" w:hanging="360"/>
      </w:pPr>
      <w:rPr>
        <w:rFonts w:ascii="Wingdings" w:hAnsi="Wingdings" w:hint="default"/>
      </w:rPr>
    </w:lvl>
    <w:lvl w:ilvl="2" w:tplc="70EA2D74">
      <w:start w:val="1"/>
      <w:numFmt w:val="bullet"/>
      <w:lvlText w:val=""/>
      <w:lvlJc w:val="left"/>
      <w:pPr>
        <w:tabs>
          <w:tab w:val="num" w:pos="2160"/>
        </w:tabs>
        <w:ind w:left="2160" w:hanging="360"/>
      </w:pPr>
      <w:rPr>
        <w:rFonts w:ascii="Wingdings" w:hAnsi="Wingdings" w:hint="default"/>
      </w:rPr>
    </w:lvl>
    <w:lvl w:ilvl="3" w:tplc="14544E00" w:tentative="1">
      <w:start w:val="1"/>
      <w:numFmt w:val="bullet"/>
      <w:lvlText w:val=""/>
      <w:lvlJc w:val="left"/>
      <w:pPr>
        <w:tabs>
          <w:tab w:val="num" w:pos="2880"/>
        </w:tabs>
        <w:ind w:left="2880" w:hanging="360"/>
      </w:pPr>
      <w:rPr>
        <w:rFonts w:ascii="Wingdings" w:hAnsi="Wingdings" w:hint="default"/>
      </w:rPr>
    </w:lvl>
    <w:lvl w:ilvl="4" w:tplc="ABB4C212" w:tentative="1">
      <w:start w:val="1"/>
      <w:numFmt w:val="bullet"/>
      <w:lvlText w:val=""/>
      <w:lvlJc w:val="left"/>
      <w:pPr>
        <w:tabs>
          <w:tab w:val="num" w:pos="3600"/>
        </w:tabs>
        <w:ind w:left="3600" w:hanging="360"/>
      </w:pPr>
      <w:rPr>
        <w:rFonts w:ascii="Wingdings" w:hAnsi="Wingdings" w:hint="default"/>
      </w:rPr>
    </w:lvl>
    <w:lvl w:ilvl="5" w:tplc="E7DEEB50" w:tentative="1">
      <w:start w:val="1"/>
      <w:numFmt w:val="bullet"/>
      <w:lvlText w:val=""/>
      <w:lvlJc w:val="left"/>
      <w:pPr>
        <w:tabs>
          <w:tab w:val="num" w:pos="4320"/>
        </w:tabs>
        <w:ind w:left="4320" w:hanging="360"/>
      </w:pPr>
      <w:rPr>
        <w:rFonts w:ascii="Wingdings" w:hAnsi="Wingdings" w:hint="default"/>
      </w:rPr>
    </w:lvl>
    <w:lvl w:ilvl="6" w:tplc="F89410F2" w:tentative="1">
      <w:start w:val="1"/>
      <w:numFmt w:val="bullet"/>
      <w:lvlText w:val=""/>
      <w:lvlJc w:val="left"/>
      <w:pPr>
        <w:tabs>
          <w:tab w:val="num" w:pos="5040"/>
        </w:tabs>
        <w:ind w:left="5040" w:hanging="360"/>
      </w:pPr>
      <w:rPr>
        <w:rFonts w:ascii="Wingdings" w:hAnsi="Wingdings" w:hint="default"/>
      </w:rPr>
    </w:lvl>
    <w:lvl w:ilvl="7" w:tplc="91E44B94" w:tentative="1">
      <w:start w:val="1"/>
      <w:numFmt w:val="bullet"/>
      <w:lvlText w:val=""/>
      <w:lvlJc w:val="left"/>
      <w:pPr>
        <w:tabs>
          <w:tab w:val="num" w:pos="5760"/>
        </w:tabs>
        <w:ind w:left="5760" w:hanging="360"/>
      </w:pPr>
      <w:rPr>
        <w:rFonts w:ascii="Wingdings" w:hAnsi="Wingdings" w:hint="default"/>
      </w:rPr>
    </w:lvl>
    <w:lvl w:ilvl="8" w:tplc="E1B225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38306E"/>
    <w:multiLevelType w:val="hybridMultilevel"/>
    <w:tmpl w:val="7C04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6100483">
    <w:abstractNumId w:val="2"/>
  </w:num>
  <w:num w:numId="2" w16cid:durableId="1453327899">
    <w:abstractNumId w:val="3"/>
  </w:num>
  <w:num w:numId="3" w16cid:durableId="30420693">
    <w:abstractNumId w:val="1"/>
  </w:num>
  <w:num w:numId="4" w16cid:durableId="369841440">
    <w:abstractNumId w:val="0"/>
  </w:num>
  <w:num w:numId="5" w16cid:durableId="9811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4E"/>
    <w:rsid w:val="00022E8F"/>
    <w:rsid w:val="00034BC1"/>
    <w:rsid w:val="00075F5E"/>
    <w:rsid w:val="000A053D"/>
    <w:rsid w:val="000D160F"/>
    <w:rsid w:val="000D614F"/>
    <w:rsid w:val="001023FF"/>
    <w:rsid w:val="00122497"/>
    <w:rsid w:val="00141DCA"/>
    <w:rsid w:val="00190FC9"/>
    <w:rsid w:val="001F09EF"/>
    <w:rsid w:val="001F0D48"/>
    <w:rsid w:val="00245BB8"/>
    <w:rsid w:val="002873F3"/>
    <w:rsid w:val="002A5D16"/>
    <w:rsid w:val="003000F0"/>
    <w:rsid w:val="00310755"/>
    <w:rsid w:val="003404FB"/>
    <w:rsid w:val="003465DD"/>
    <w:rsid w:val="003609D4"/>
    <w:rsid w:val="00374E60"/>
    <w:rsid w:val="00393C39"/>
    <w:rsid w:val="004346D2"/>
    <w:rsid w:val="00441C1E"/>
    <w:rsid w:val="004439A8"/>
    <w:rsid w:val="00470CBB"/>
    <w:rsid w:val="004B4D47"/>
    <w:rsid w:val="004E314E"/>
    <w:rsid w:val="005049A4"/>
    <w:rsid w:val="0052760C"/>
    <w:rsid w:val="00532D62"/>
    <w:rsid w:val="00551B0D"/>
    <w:rsid w:val="005576A3"/>
    <w:rsid w:val="00565930"/>
    <w:rsid w:val="005D1D6E"/>
    <w:rsid w:val="00604932"/>
    <w:rsid w:val="00615B92"/>
    <w:rsid w:val="00632BF3"/>
    <w:rsid w:val="00675D16"/>
    <w:rsid w:val="00682895"/>
    <w:rsid w:val="00692CBE"/>
    <w:rsid w:val="006B1664"/>
    <w:rsid w:val="006E638E"/>
    <w:rsid w:val="007016CB"/>
    <w:rsid w:val="00720167"/>
    <w:rsid w:val="0075518C"/>
    <w:rsid w:val="00776886"/>
    <w:rsid w:val="00786CF9"/>
    <w:rsid w:val="00794B68"/>
    <w:rsid w:val="00796F26"/>
    <w:rsid w:val="00797EA0"/>
    <w:rsid w:val="007A0864"/>
    <w:rsid w:val="007D42E4"/>
    <w:rsid w:val="007E5DCF"/>
    <w:rsid w:val="00840348"/>
    <w:rsid w:val="008A3E58"/>
    <w:rsid w:val="00933932"/>
    <w:rsid w:val="00944EF5"/>
    <w:rsid w:val="00953623"/>
    <w:rsid w:val="009B505A"/>
    <w:rsid w:val="009E1888"/>
    <w:rsid w:val="00A060B5"/>
    <w:rsid w:val="00A124EE"/>
    <w:rsid w:val="00A33ACD"/>
    <w:rsid w:val="00A63550"/>
    <w:rsid w:val="00A935C5"/>
    <w:rsid w:val="00AE147C"/>
    <w:rsid w:val="00AF5EEF"/>
    <w:rsid w:val="00B61243"/>
    <w:rsid w:val="00B82C3E"/>
    <w:rsid w:val="00BA0897"/>
    <w:rsid w:val="00BA1F57"/>
    <w:rsid w:val="00BB6CAB"/>
    <w:rsid w:val="00C00581"/>
    <w:rsid w:val="00C07BB5"/>
    <w:rsid w:val="00C2008B"/>
    <w:rsid w:val="00C2324D"/>
    <w:rsid w:val="00C347D9"/>
    <w:rsid w:val="00C65397"/>
    <w:rsid w:val="00CB473B"/>
    <w:rsid w:val="00CE117B"/>
    <w:rsid w:val="00CE34EA"/>
    <w:rsid w:val="00D03EE3"/>
    <w:rsid w:val="00D72000"/>
    <w:rsid w:val="00D828CB"/>
    <w:rsid w:val="00DB1C35"/>
    <w:rsid w:val="00DC3600"/>
    <w:rsid w:val="00DC54C9"/>
    <w:rsid w:val="00DD1816"/>
    <w:rsid w:val="00DD783E"/>
    <w:rsid w:val="00DE0239"/>
    <w:rsid w:val="00DE7E5B"/>
    <w:rsid w:val="00DF3352"/>
    <w:rsid w:val="00DF3E42"/>
    <w:rsid w:val="00E04D7C"/>
    <w:rsid w:val="00E75DAD"/>
    <w:rsid w:val="00ED571A"/>
    <w:rsid w:val="00F2110B"/>
    <w:rsid w:val="00F21EBA"/>
    <w:rsid w:val="00FB2D76"/>
    <w:rsid w:val="00FC3E4E"/>
    <w:rsid w:val="00FD1BC1"/>
    <w:rsid w:val="00FD43B7"/>
    <w:rsid w:val="00FE4B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Accentuation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 w:type="character" w:customStyle="1" w:styleId="hps">
    <w:name w:val="hps"/>
    <w:basedOn w:val="Policepardfaut"/>
    <w:rsid w:val="001F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1315">
      <w:bodyDiv w:val="1"/>
      <w:marLeft w:val="0"/>
      <w:marRight w:val="0"/>
      <w:marTop w:val="0"/>
      <w:marBottom w:val="0"/>
      <w:divBdr>
        <w:top w:val="none" w:sz="0" w:space="0" w:color="auto"/>
        <w:left w:val="none" w:sz="0" w:space="0" w:color="auto"/>
        <w:bottom w:val="none" w:sz="0" w:space="0" w:color="auto"/>
        <w:right w:val="none" w:sz="0" w:space="0" w:color="auto"/>
      </w:divBdr>
    </w:div>
    <w:div w:id="389038913">
      <w:bodyDiv w:val="1"/>
      <w:marLeft w:val="0"/>
      <w:marRight w:val="0"/>
      <w:marTop w:val="0"/>
      <w:marBottom w:val="0"/>
      <w:divBdr>
        <w:top w:val="none" w:sz="0" w:space="0" w:color="auto"/>
        <w:left w:val="none" w:sz="0" w:space="0" w:color="auto"/>
        <w:bottom w:val="none" w:sz="0" w:space="0" w:color="auto"/>
        <w:right w:val="none" w:sz="0" w:space="0" w:color="auto"/>
      </w:divBdr>
      <w:divsChild>
        <w:div w:id="656421598">
          <w:marLeft w:val="1080"/>
          <w:marRight w:val="0"/>
          <w:marTop w:val="80"/>
          <w:marBottom w:val="40"/>
          <w:divBdr>
            <w:top w:val="none" w:sz="0" w:space="0" w:color="auto"/>
            <w:left w:val="none" w:sz="0" w:space="0" w:color="auto"/>
            <w:bottom w:val="none" w:sz="0" w:space="0" w:color="auto"/>
            <w:right w:val="none" w:sz="0" w:space="0" w:color="auto"/>
          </w:divBdr>
        </w:div>
      </w:divsChild>
    </w:div>
    <w:div w:id="1093669522">
      <w:bodyDiv w:val="1"/>
      <w:marLeft w:val="0"/>
      <w:marRight w:val="0"/>
      <w:marTop w:val="0"/>
      <w:marBottom w:val="0"/>
      <w:divBdr>
        <w:top w:val="none" w:sz="0" w:space="0" w:color="auto"/>
        <w:left w:val="none" w:sz="0" w:space="0" w:color="auto"/>
        <w:bottom w:val="none" w:sz="0" w:space="0" w:color="auto"/>
        <w:right w:val="none" w:sz="0" w:space="0" w:color="auto"/>
      </w:divBdr>
      <w:divsChild>
        <w:div w:id="1194922424">
          <w:marLeft w:val="706"/>
          <w:marRight w:val="0"/>
          <w:marTop w:val="240"/>
          <w:marBottom w:val="120"/>
          <w:divBdr>
            <w:top w:val="none" w:sz="0" w:space="0" w:color="auto"/>
            <w:left w:val="none" w:sz="0" w:space="0" w:color="auto"/>
            <w:bottom w:val="none" w:sz="0" w:space="0" w:color="auto"/>
            <w:right w:val="none" w:sz="0" w:space="0" w:color="auto"/>
          </w:divBdr>
        </w:div>
      </w:divsChild>
    </w:div>
    <w:div w:id="1552423594">
      <w:bodyDiv w:val="1"/>
      <w:marLeft w:val="0"/>
      <w:marRight w:val="0"/>
      <w:marTop w:val="0"/>
      <w:marBottom w:val="0"/>
      <w:divBdr>
        <w:top w:val="none" w:sz="0" w:space="0" w:color="auto"/>
        <w:left w:val="none" w:sz="0" w:space="0" w:color="auto"/>
        <w:bottom w:val="none" w:sz="0" w:space="0" w:color="auto"/>
        <w:right w:val="none" w:sz="0" w:space="0" w:color="auto"/>
      </w:divBdr>
      <w:divsChild>
        <w:div w:id="1089232058">
          <w:marLeft w:val="1080"/>
          <w:marRight w:val="0"/>
          <w:marTop w:val="80"/>
          <w:marBottom w:val="40"/>
          <w:divBdr>
            <w:top w:val="none" w:sz="0" w:space="0" w:color="auto"/>
            <w:left w:val="none" w:sz="0" w:space="0" w:color="auto"/>
            <w:bottom w:val="none" w:sz="0" w:space="0" w:color="auto"/>
            <w:right w:val="none" w:sz="0" w:space="0" w:color="auto"/>
          </w:divBdr>
        </w:div>
      </w:divsChild>
    </w:div>
    <w:div w:id="2111705343">
      <w:bodyDiv w:val="1"/>
      <w:marLeft w:val="0"/>
      <w:marRight w:val="0"/>
      <w:marTop w:val="0"/>
      <w:marBottom w:val="0"/>
      <w:divBdr>
        <w:top w:val="none" w:sz="0" w:space="0" w:color="auto"/>
        <w:left w:val="none" w:sz="0" w:space="0" w:color="auto"/>
        <w:bottom w:val="none" w:sz="0" w:space="0" w:color="auto"/>
        <w:right w:val="none" w:sz="0" w:space="0" w:color="auto"/>
      </w:divBdr>
      <w:divsChild>
        <w:div w:id="750153827">
          <w:marLeft w:val="1080"/>
          <w:marRight w:val="0"/>
          <w:marTop w:val="80"/>
          <w:marBottom w:val="40"/>
          <w:divBdr>
            <w:top w:val="none" w:sz="0" w:space="0" w:color="auto"/>
            <w:left w:val="none" w:sz="0" w:space="0" w:color="auto"/>
            <w:bottom w:val="none" w:sz="0" w:space="0" w:color="auto"/>
            <w:right w:val="none" w:sz="0" w:space="0" w:color="auto"/>
          </w:divBdr>
        </w:div>
        <w:div w:id="1028533244">
          <w:marLeft w:val="1800"/>
          <w:marRight w:val="0"/>
          <w:marTop w:val="80"/>
          <w:marBottom w:val="40"/>
          <w:divBdr>
            <w:top w:val="none" w:sz="0" w:space="0" w:color="auto"/>
            <w:left w:val="none" w:sz="0" w:space="0" w:color="auto"/>
            <w:bottom w:val="none" w:sz="0" w:space="0" w:color="auto"/>
            <w:right w:val="none" w:sz="0" w:space="0" w:color="auto"/>
          </w:divBdr>
        </w:div>
        <w:div w:id="1126850954">
          <w:marLeft w:val="1800"/>
          <w:marRight w:val="0"/>
          <w:marTop w:val="80"/>
          <w:marBottom w:val="40"/>
          <w:divBdr>
            <w:top w:val="none" w:sz="0" w:space="0" w:color="auto"/>
            <w:left w:val="none" w:sz="0" w:space="0" w:color="auto"/>
            <w:bottom w:val="none" w:sz="0" w:space="0" w:color="auto"/>
            <w:right w:val="none" w:sz="0" w:space="0" w:color="auto"/>
          </w:divBdr>
        </w:div>
        <w:div w:id="40441411">
          <w:marLeft w:val="1800"/>
          <w:marRight w:val="0"/>
          <w:marTop w:val="80"/>
          <w:marBottom w:val="40"/>
          <w:divBdr>
            <w:top w:val="none" w:sz="0" w:space="0" w:color="auto"/>
            <w:left w:val="none" w:sz="0" w:space="0" w:color="auto"/>
            <w:bottom w:val="none" w:sz="0" w:space="0" w:color="auto"/>
            <w:right w:val="none" w:sz="0" w:space="0" w:color="auto"/>
          </w:divBdr>
        </w:div>
        <w:div w:id="687102775">
          <w:marLeft w:val="1800"/>
          <w:marRight w:val="0"/>
          <w:marTop w:val="80"/>
          <w:marBottom w:val="40"/>
          <w:divBdr>
            <w:top w:val="none" w:sz="0" w:space="0" w:color="auto"/>
            <w:left w:val="none" w:sz="0" w:space="0" w:color="auto"/>
            <w:bottom w:val="none" w:sz="0" w:space="0" w:color="auto"/>
            <w:right w:val="none" w:sz="0" w:space="0" w:color="auto"/>
          </w:divBdr>
        </w:div>
      </w:divsChild>
    </w:div>
    <w:div w:id="21139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at-mal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MK</cp:lastModifiedBy>
  <cp:revision>3</cp:revision>
  <dcterms:created xsi:type="dcterms:W3CDTF">2025-07-04T08:54:00Z</dcterms:created>
  <dcterms:modified xsi:type="dcterms:W3CDTF">2025-07-28T21:21:00Z</dcterms:modified>
</cp:coreProperties>
</file>