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1F1E" w14:textId="1C334ED4" w:rsidR="0075518C" w:rsidRPr="00FC3E4E" w:rsidRDefault="00FC3E4E">
      <w:pPr>
        <w:rPr>
          <w:b/>
          <w:bCs/>
          <w:sz w:val="26"/>
          <w:szCs w:val="26"/>
        </w:rPr>
      </w:pPr>
      <w:r w:rsidRPr="00FC3E4E">
        <w:rPr>
          <w:b/>
          <w:bCs/>
          <w:sz w:val="26"/>
          <w:szCs w:val="26"/>
        </w:rPr>
        <w:t>Projet de canevas de présentation des principaux produits statistiques de l’INSTAT</w:t>
      </w:r>
    </w:p>
    <w:tbl>
      <w:tblPr>
        <w:tblStyle w:val="TableauGrille2-Accentuation11"/>
        <w:tblW w:w="53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904"/>
        <w:gridCol w:w="6405"/>
      </w:tblGrid>
      <w:tr w:rsidR="00FC3E4E" w:rsidRPr="000D614F" w14:paraId="13965D81" w14:textId="77777777" w:rsidTr="00794B68">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35" w:type="pct"/>
            <w:tcBorders>
              <w:top w:val="single" w:sz="4" w:space="0" w:color="auto"/>
              <w:bottom w:val="single" w:sz="4" w:space="0" w:color="auto"/>
              <w:right w:val="single" w:sz="4" w:space="0" w:color="auto"/>
            </w:tcBorders>
          </w:tcPr>
          <w:p w14:paraId="331FCD34" w14:textId="77777777" w:rsidR="00FC3E4E" w:rsidRPr="000D614F" w:rsidRDefault="00FC3E4E" w:rsidP="00043188">
            <w:pPr>
              <w:jc w:val="center"/>
              <w:rPr>
                <w:bCs w:val="0"/>
                <w:sz w:val="24"/>
                <w:szCs w:val="24"/>
              </w:rPr>
            </w:pPr>
            <w:r w:rsidRPr="000D614F">
              <w:rPr>
                <w:bCs w:val="0"/>
                <w:sz w:val="24"/>
                <w:szCs w:val="24"/>
              </w:rPr>
              <w:t>N°</w:t>
            </w:r>
          </w:p>
        </w:tc>
        <w:tc>
          <w:tcPr>
            <w:tcW w:w="4765" w:type="pct"/>
            <w:gridSpan w:val="2"/>
            <w:tcBorders>
              <w:top w:val="single" w:sz="4" w:space="0" w:color="auto"/>
              <w:left w:val="single" w:sz="4" w:space="0" w:color="auto"/>
              <w:bottom w:val="single" w:sz="4" w:space="0" w:color="auto"/>
            </w:tcBorders>
          </w:tcPr>
          <w:p w14:paraId="66101F87" w14:textId="14951837" w:rsidR="00FC3E4E" w:rsidRPr="000D614F" w:rsidRDefault="00FC3E4E" w:rsidP="00043188">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0D614F">
              <w:rPr>
                <w:bCs w:val="0"/>
                <w:sz w:val="24"/>
                <w:szCs w:val="24"/>
              </w:rPr>
              <w:t>Canevas de présentation des principaux produits statistiques de l’INSTAT</w:t>
            </w:r>
          </w:p>
        </w:tc>
      </w:tr>
      <w:tr w:rsidR="00FC3E4E" w:rsidRPr="000D614F" w14:paraId="29CD14E2" w14:textId="77777777" w:rsidTr="00C4259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35" w:type="pct"/>
            <w:tcBorders>
              <w:top w:val="single" w:sz="4" w:space="0" w:color="auto"/>
            </w:tcBorders>
            <w:vAlign w:val="center"/>
          </w:tcPr>
          <w:p w14:paraId="0A8DE114" w14:textId="77777777" w:rsidR="00FC3E4E" w:rsidRPr="000D614F" w:rsidRDefault="00FC3E4E" w:rsidP="00B82C3E">
            <w:pPr>
              <w:rPr>
                <w:b w:val="0"/>
                <w:sz w:val="24"/>
                <w:szCs w:val="24"/>
              </w:rPr>
            </w:pPr>
            <w:r w:rsidRPr="000D614F">
              <w:rPr>
                <w:b w:val="0"/>
                <w:sz w:val="24"/>
                <w:szCs w:val="24"/>
              </w:rPr>
              <w:t>1</w:t>
            </w:r>
          </w:p>
        </w:tc>
        <w:tc>
          <w:tcPr>
            <w:tcW w:w="1487" w:type="pct"/>
            <w:tcBorders>
              <w:top w:val="single" w:sz="4" w:space="0" w:color="auto"/>
            </w:tcBorders>
            <w:vAlign w:val="center"/>
          </w:tcPr>
          <w:p w14:paraId="00006D20" w14:textId="6160E12C" w:rsidR="00FC3E4E" w:rsidRPr="000D614F" w:rsidRDefault="00FC3E4E" w:rsidP="00C42592">
            <w:pPr>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Nom du Département et missions</w:t>
            </w:r>
          </w:p>
        </w:tc>
        <w:tc>
          <w:tcPr>
            <w:tcW w:w="3277" w:type="pct"/>
            <w:tcBorders>
              <w:top w:val="single" w:sz="4" w:space="0" w:color="auto"/>
            </w:tcBorders>
            <w:vAlign w:val="center"/>
          </w:tcPr>
          <w:p w14:paraId="05ECA120" w14:textId="0EE141D5" w:rsidR="00FC3E4E" w:rsidRDefault="007E5DCF" w:rsidP="00BA1F57">
            <w:pPr>
              <w:jc w:val="both"/>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Département de la Recherche, de la Normalisation et des Enquêtes Statistiques (DNRE).</w:t>
            </w:r>
          </w:p>
          <w:p w14:paraId="2B670239" w14:textId="72CA0287" w:rsidR="007E5DCF" w:rsidRPr="004E4DA0" w:rsidRDefault="004E4DA0" w:rsidP="004E4DA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Le département est chargé de : (i) promouvoir le développement des sciences statistiques et de la recherche économique appliquée relevant du domaine de compétence de l’INSTAT en relation avec les institutions de recherche et les Universités ; (ii) veiller à la mise en application des méthodes, concepts, définitions, normes, classifications et nomenclatures approuvés par le Comité scientifique, (iii) élaborer les méthodes et concepts, (iv) définir les normes, classifications, nomenclatures et autres outils de collecte et d’exploitation des enquêtes statistiques et (v) participer à la conception et à la réalisation des opérations de collecte pour toutes enquêtes statistiques d’envergure nationale.</w:t>
            </w:r>
          </w:p>
        </w:tc>
      </w:tr>
      <w:tr w:rsidR="00FC3E4E" w:rsidRPr="000D614F" w14:paraId="0761B1B5" w14:textId="77777777" w:rsidTr="00794B68">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BA6F100" w14:textId="77777777" w:rsidR="00FC3E4E" w:rsidRPr="000D614F" w:rsidRDefault="00FC3E4E" w:rsidP="00B82C3E">
            <w:pPr>
              <w:rPr>
                <w:b w:val="0"/>
                <w:sz w:val="24"/>
                <w:szCs w:val="24"/>
              </w:rPr>
            </w:pPr>
            <w:r w:rsidRPr="000D614F">
              <w:rPr>
                <w:b w:val="0"/>
                <w:sz w:val="24"/>
                <w:szCs w:val="24"/>
              </w:rPr>
              <w:t>2</w:t>
            </w:r>
          </w:p>
        </w:tc>
        <w:tc>
          <w:tcPr>
            <w:tcW w:w="1487" w:type="pct"/>
            <w:vAlign w:val="center"/>
          </w:tcPr>
          <w:p w14:paraId="0E78711C" w14:textId="43C6D27A" w:rsidR="00FC3E4E" w:rsidRPr="000D614F" w:rsidRDefault="003465DD" w:rsidP="00190FC9">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 xml:space="preserve">Nom du </w:t>
            </w:r>
            <w:r w:rsidR="00FC3E4E" w:rsidRPr="000D614F">
              <w:rPr>
                <w:bCs/>
                <w:sz w:val="24"/>
                <w:szCs w:val="24"/>
              </w:rPr>
              <w:t>Produit statistique</w:t>
            </w:r>
            <w:r w:rsidR="00190FC9" w:rsidRPr="000D614F">
              <w:rPr>
                <w:bCs/>
                <w:sz w:val="24"/>
                <w:szCs w:val="24"/>
              </w:rPr>
              <w:t xml:space="preserve"> </w:t>
            </w:r>
          </w:p>
        </w:tc>
        <w:tc>
          <w:tcPr>
            <w:tcW w:w="3277" w:type="pct"/>
            <w:vAlign w:val="center"/>
          </w:tcPr>
          <w:p w14:paraId="3D97E60F" w14:textId="2EECB50D" w:rsidR="00FC3E4E" w:rsidRPr="000D614F" w:rsidRDefault="00E72708" w:rsidP="00E72708">
            <w:pPr>
              <w:cnfStyle w:val="000000000000" w:firstRow="0" w:lastRow="0" w:firstColumn="0" w:lastColumn="0" w:oddVBand="0" w:evenVBand="0" w:oddHBand="0" w:evenHBand="0" w:firstRowFirstColumn="0" w:firstRowLastColumn="0" w:lastRowFirstColumn="0" w:lastRowLastColumn="0"/>
              <w:rPr>
                <w:sz w:val="24"/>
                <w:szCs w:val="24"/>
              </w:rPr>
            </w:pPr>
            <w:r w:rsidRPr="00E72708">
              <w:rPr>
                <w:sz w:val="24"/>
                <w:szCs w:val="24"/>
              </w:rPr>
              <w:t xml:space="preserve">Enquête Nutritionnelle Anthropométrique </w:t>
            </w:r>
            <w:r>
              <w:rPr>
                <w:sz w:val="24"/>
                <w:szCs w:val="24"/>
              </w:rPr>
              <w:t>e</w:t>
            </w:r>
            <w:r w:rsidRPr="00E72708">
              <w:rPr>
                <w:sz w:val="24"/>
                <w:szCs w:val="24"/>
              </w:rPr>
              <w:t xml:space="preserve">t </w:t>
            </w:r>
            <w:r>
              <w:rPr>
                <w:sz w:val="24"/>
                <w:szCs w:val="24"/>
              </w:rPr>
              <w:t>d</w:t>
            </w:r>
            <w:r w:rsidRPr="00E72708">
              <w:rPr>
                <w:sz w:val="24"/>
                <w:szCs w:val="24"/>
              </w:rPr>
              <w:t>e Mortalité Rétrospective (SMART)</w:t>
            </w:r>
          </w:p>
        </w:tc>
      </w:tr>
      <w:tr w:rsidR="00FC3E4E" w:rsidRPr="000D614F" w14:paraId="08F19868" w14:textId="77777777" w:rsidTr="00794B6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49EB2194" w14:textId="77777777" w:rsidR="00FC3E4E" w:rsidRPr="000D614F" w:rsidRDefault="00FC3E4E" w:rsidP="00B82C3E">
            <w:pPr>
              <w:rPr>
                <w:b w:val="0"/>
                <w:sz w:val="24"/>
                <w:szCs w:val="24"/>
              </w:rPr>
            </w:pPr>
            <w:r w:rsidRPr="000D614F">
              <w:rPr>
                <w:b w:val="0"/>
                <w:sz w:val="24"/>
                <w:szCs w:val="24"/>
              </w:rPr>
              <w:t>3</w:t>
            </w:r>
          </w:p>
        </w:tc>
        <w:tc>
          <w:tcPr>
            <w:tcW w:w="1487" w:type="pct"/>
            <w:vAlign w:val="center"/>
          </w:tcPr>
          <w:p w14:paraId="5C7406C7" w14:textId="41D57B1A" w:rsidR="00FC3E4E" w:rsidRPr="000D614F" w:rsidRDefault="003465DD"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 xml:space="preserve">Objectifs du produit et </w:t>
            </w:r>
            <w:r w:rsidR="00DC3600" w:rsidRPr="000D614F">
              <w:rPr>
                <w:bCs/>
                <w:sz w:val="24"/>
                <w:szCs w:val="24"/>
              </w:rPr>
              <w:t>son h</w:t>
            </w:r>
            <w:r w:rsidR="00FC3E4E" w:rsidRPr="000D614F">
              <w:rPr>
                <w:bCs/>
                <w:sz w:val="24"/>
                <w:szCs w:val="24"/>
              </w:rPr>
              <w:t xml:space="preserve">istorique </w:t>
            </w:r>
          </w:p>
        </w:tc>
        <w:tc>
          <w:tcPr>
            <w:tcW w:w="3277" w:type="pct"/>
            <w:vAlign w:val="center"/>
          </w:tcPr>
          <w:p w14:paraId="49FCD014" w14:textId="131716C8" w:rsidR="000F0DAE" w:rsidRDefault="00E72708" w:rsidP="000F0DAE">
            <w:pPr>
              <w:jc w:val="both"/>
              <w:cnfStyle w:val="000000100000" w:firstRow="0" w:lastRow="0" w:firstColumn="0" w:lastColumn="0" w:oddVBand="0" w:evenVBand="0" w:oddHBand="1" w:evenHBand="0" w:firstRowFirstColumn="0" w:firstRowLastColumn="0" w:lastRowFirstColumn="0" w:lastRowLastColumn="0"/>
              <w:rPr>
                <w:sz w:val="24"/>
                <w:szCs w:val="24"/>
              </w:rPr>
            </w:pPr>
            <w:r w:rsidRPr="00E72708">
              <w:rPr>
                <w:sz w:val="24"/>
                <w:szCs w:val="24"/>
              </w:rPr>
              <w:t>L’objectif de cette enquête nutritionnelle et de mortalité rétrospective est d’évaluer la situation nutritionnelle des enfants de 0-59 mois, des adolescents(es) (10-19 ans), des femmes en âge de procréer (15-49 ans) et de faire un aperçu de la mortalité rétrospective sur l’ensemble des régions et du District de Bamako</w:t>
            </w:r>
            <w:r w:rsidR="000F0DAE">
              <w:rPr>
                <w:sz w:val="24"/>
                <w:szCs w:val="24"/>
              </w:rPr>
              <w:t>.</w:t>
            </w:r>
          </w:p>
          <w:p w14:paraId="6A34DC3A" w14:textId="632FBBBD" w:rsidR="006D5E9B" w:rsidRPr="000D614F" w:rsidRDefault="000F0DAE" w:rsidP="000F0DAE">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r w:rsidR="00E72708" w:rsidRPr="00E72708">
              <w:rPr>
                <w:sz w:val="24"/>
                <w:szCs w:val="24"/>
              </w:rPr>
              <w:t>Réalisée par l’INSTAT en collaboration avec la DGSHP, 14</w:t>
            </w:r>
            <w:r w:rsidR="00725C12">
              <w:rPr>
                <w:sz w:val="24"/>
                <w:szCs w:val="24"/>
              </w:rPr>
              <w:t> </w:t>
            </w:r>
            <w:r w:rsidR="00E72708" w:rsidRPr="00E72708">
              <w:rPr>
                <w:sz w:val="24"/>
                <w:szCs w:val="24"/>
              </w:rPr>
              <w:t>éditions ont eu lieu de 2011 à 2024</w:t>
            </w:r>
            <w:r>
              <w:rPr>
                <w:sz w:val="24"/>
                <w:szCs w:val="24"/>
              </w:rPr>
              <w:t>.</w:t>
            </w:r>
          </w:p>
        </w:tc>
      </w:tr>
      <w:tr w:rsidR="00FC3E4E" w:rsidRPr="000D614F" w14:paraId="5E29D9C3" w14:textId="77777777" w:rsidTr="00794B68">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7708082" w14:textId="77777777" w:rsidR="00FC3E4E" w:rsidRPr="000D614F" w:rsidRDefault="00FC3E4E" w:rsidP="00B82C3E">
            <w:pPr>
              <w:rPr>
                <w:b w:val="0"/>
                <w:bCs w:val="0"/>
                <w:sz w:val="24"/>
                <w:szCs w:val="24"/>
              </w:rPr>
            </w:pPr>
            <w:r w:rsidRPr="000D614F">
              <w:rPr>
                <w:b w:val="0"/>
                <w:bCs w:val="0"/>
                <w:sz w:val="24"/>
                <w:szCs w:val="24"/>
              </w:rPr>
              <w:t>4</w:t>
            </w:r>
          </w:p>
        </w:tc>
        <w:tc>
          <w:tcPr>
            <w:tcW w:w="1487" w:type="pct"/>
            <w:vAlign w:val="center"/>
          </w:tcPr>
          <w:p w14:paraId="5815A0C9" w14:textId="4E2BB94F" w:rsidR="00FC3E4E" w:rsidRPr="000D614F"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Méthodologie</w:t>
            </w:r>
            <w:r w:rsidR="00B82C3E" w:rsidRPr="000D614F">
              <w:rPr>
                <w:bCs/>
                <w:sz w:val="24"/>
                <w:szCs w:val="24"/>
              </w:rPr>
              <w:t xml:space="preserve"> utilisée </w:t>
            </w:r>
            <w:r w:rsidR="00B82C3E" w:rsidRPr="00B61243">
              <w:rPr>
                <w:bCs/>
                <w:sz w:val="24"/>
                <w:szCs w:val="24"/>
                <w:u w:val="single"/>
              </w:rPr>
              <w:t>ou aperçu sur l’interface s’il s’agit d’une base de données ou site web</w:t>
            </w:r>
          </w:p>
        </w:tc>
        <w:tc>
          <w:tcPr>
            <w:tcW w:w="3277" w:type="pct"/>
            <w:vAlign w:val="center"/>
          </w:tcPr>
          <w:p w14:paraId="19D04E88" w14:textId="5DEB9545" w:rsidR="006829F9" w:rsidRDefault="00720167" w:rsidP="0072016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w:t>
            </w:r>
            <w:r w:rsidR="00FD43B7" w:rsidRPr="00720167">
              <w:rPr>
                <w:sz w:val="24"/>
                <w:szCs w:val="24"/>
              </w:rPr>
              <w:t xml:space="preserve">nquête par </w:t>
            </w:r>
            <w:r>
              <w:rPr>
                <w:sz w:val="24"/>
                <w:szCs w:val="24"/>
              </w:rPr>
              <w:t xml:space="preserve">sondage, </w:t>
            </w:r>
            <w:r w:rsidR="00FD43B7" w:rsidRPr="00720167">
              <w:rPr>
                <w:sz w:val="24"/>
                <w:szCs w:val="24"/>
              </w:rPr>
              <w:t xml:space="preserve">aréolaire </w:t>
            </w:r>
            <w:r>
              <w:rPr>
                <w:sz w:val="24"/>
                <w:szCs w:val="24"/>
              </w:rPr>
              <w:t xml:space="preserve">et </w:t>
            </w:r>
            <w:r w:rsidR="00FD43B7" w:rsidRPr="00720167">
              <w:rPr>
                <w:sz w:val="24"/>
                <w:szCs w:val="24"/>
              </w:rPr>
              <w:t>stratifié à deux degrés</w:t>
            </w:r>
            <w:r>
              <w:rPr>
                <w:sz w:val="24"/>
                <w:szCs w:val="24"/>
              </w:rPr>
              <w:t xml:space="preserve">. </w:t>
            </w:r>
          </w:p>
          <w:p w14:paraId="48360EC9" w14:textId="77777777" w:rsidR="00720167" w:rsidRDefault="00720167" w:rsidP="0072016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Au premier degré, un échantillon d’unité primaires de sondage(UPS) ou grappes est tiré systématiquement avec une probabilité proportionnelle à leur taille en ménage à partir de la liste des sections d’énumération établie au cours du RGPH le plus récent. </w:t>
            </w:r>
          </w:p>
          <w:p w14:paraId="4004EEBE" w14:textId="77777777" w:rsidR="00DF5555" w:rsidRDefault="00E75DAD" w:rsidP="00725C12">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Au second degré, on procède à un tirage systématique à probabilité égale d’un nombre fixe de ménages dans chaque SE/grappe.</w:t>
            </w:r>
          </w:p>
          <w:p w14:paraId="69505C0F" w14:textId="25476BF2" w:rsidR="00DF5555" w:rsidRPr="006B695F" w:rsidRDefault="00DF5555" w:rsidP="00725C12">
            <w:pPr>
              <w:jc w:val="both"/>
              <w:cnfStyle w:val="000000000000" w:firstRow="0" w:lastRow="0" w:firstColumn="0" w:lastColumn="0" w:oddVBand="0" w:evenVBand="0" w:oddHBand="0" w:evenHBand="0" w:firstRowFirstColumn="0" w:firstRowLastColumn="0" w:lastRowFirstColumn="0" w:lastRowLastColumn="0"/>
              <w:rPr>
                <w:b/>
                <w:bCs/>
                <w:sz w:val="24"/>
                <w:szCs w:val="24"/>
              </w:rPr>
            </w:pPr>
            <w:r w:rsidRPr="006B695F">
              <w:rPr>
                <w:b/>
                <w:bCs/>
                <w:sz w:val="24"/>
                <w:szCs w:val="24"/>
              </w:rPr>
              <w:t>Outils utilisés :</w:t>
            </w:r>
          </w:p>
          <w:p w14:paraId="13E923DC" w14:textId="6F6F2740" w:rsidR="00DF5555" w:rsidRPr="006B695F" w:rsidRDefault="00DF5555" w:rsidP="006B695F">
            <w:pPr>
              <w:pStyle w:val="Paragraphedeliste"/>
              <w:numPr>
                <w:ilvl w:val="0"/>
                <w:numId w:val="24"/>
              </w:numPr>
              <w:jc w:val="both"/>
              <w:cnfStyle w:val="000000000000" w:firstRow="0" w:lastRow="0" w:firstColumn="0" w:lastColumn="0" w:oddVBand="0" w:evenVBand="0" w:oddHBand="0" w:evenHBand="0" w:firstRowFirstColumn="0" w:firstRowLastColumn="0" w:lastRowFirstColumn="0" w:lastRowLastColumn="0"/>
              <w:rPr>
                <w:sz w:val="24"/>
                <w:szCs w:val="24"/>
              </w:rPr>
            </w:pPr>
            <w:r w:rsidRPr="006B695F">
              <w:rPr>
                <w:sz w:val="24"/>
                <w:szCs w:val="24"/>
              </w:rPr>
              <w:t xml:space="preserve">Questionnaire </w:t>
            </w:r>
            <w:r w:rsidR="006B695F" w:rsidRPr="006B695F">
              <w:rPr>
                <w:sz w:val="24"/>
                <w:szCs w:val="24"/>
              </w:rPr>
              <w:t>ménage</w:t>
            </w:r>
            <w:r w:rsidRPr="006B695F">
              <w:rPr>
                <w:sz w:val="24"/>
                <w:szCs w:val="24"/>
              </w:rPr>
              <w:t xml:space="preserve">, femmes (10-49 ans) et enfants (0-59 mois), </w:t>
            </w:r>
            <w:r w:rsidR="006B695F" w:rsidRPr="006B695F">
              <w:rPr>
                <w:sz w:val="24"/>
                <w:szCs w:val="24"/>
              </w:rPr>
              <w:t xml:space="preserve">SMART </w:t>
            </w:r>
            <w:r w:rsidRPr="006B695F">
              <w:rPr>
                <w:sz w:val="24"/>
                <w:szCs w:val="24"/>
              </w:rPr>
              <w:t>2024-</w:t>
            </w:r>
            <w:r w:rsidR="006B695F" w:rsidRPr="006B695F">
              <w:rPr>
                <w:sz w:val="24"/>
                <w:szCs w:val="24"/>
              </w:rPr>
              <w:t>M</w:t>
            </w:r>
            <w:r w:rsidRPr="006B695F">
              <w:rPr>
                <w:sz w:val="24"/>
                <w:szCs w:val="24"/>
              </w:rPr>
              <w:t>ali</w:t>
            </w:r>
          </w:p>
          <w:p w14:paraId="5A2EC3D1" w14:textId="34049AC9" w:rsidR="006B695F" w:rsidRPr="006B695F" w:rsidRDefault="006B695F" w:rsidP="006B695F">
            <w:pPr>
              <w:pStyle w:val="Paragraphedeliste"/>
              <w:numPr>
                <w:ilvl w:val="0"/>
                <w:numId w:val="24"/>
              </w:numPr>
              <w:jc w:val="both"/>
              <w:cnfStyle w:val="000000000000" w:firstRow="0" w:lastRow="0" w:firstColumn="0" w:lastColumn="0" w:oddVBand="0" w:evenVBand="0" w:oddHBand="0" w:evenHBand="0" w:firstRowFirstColumn="0" w:firstRowLastColumn="0" w:lastRowFirstColumn="0" w:lastRowLastColumn="0"/>
              <w:rPr>
                <w:sz w:val="24"/>
                <w:szCs w:val="24"/>
              </w:rPr>
            </w:pPr>
            <w:r w:rsidRPr="006B695F">
              <w:rPr>
                <w:sz w:val="24"/>
                <w:szCs w:val="24"/>
              </w:rPr>
              <w:t>Questionnaire alimentation du nourrisson et du jeune enfant</w:t>
            </w:r>
          </w:p>
          <w:p w14:paraId="10A20CAB" w14:textId="4445BD5D" w:rsidR="006B695F" w:rsidRPr="006B695F" w:rsidRDefault="006B695F" w:rsidP="006B695F">
            <w:pPr>
              <w:pStyle w:val="Paragraphedeliste"/>
              <w:numPr>
                <w:ilvl w:val="0"/>
                <w:numId w:val="24"/>
              </w:numPr>
              <w:jc w:val="both"/>
              <w:cnfStyle w:val="000000000000" w:firstRow="0" w:lastRow="0" w:firstColumn="0" w:lastColumn="0" w:oddVBand="0" w:evenVBand="0" w:oddHBand="0" w:evenHBand="0" w:firstRowFirstColumn="0" w:firstRowLastColumn="0" w:lastRowFirstColumn="0" w:lastRowLastColumn="0"/>
              <w:rPr>
                <w:sz w:val="24"/>
                <w:szCs w:val="24"/>
              </w:rPr>
            </w:pPr>
            <w:r w:rsidRPr="006B695F">
              <w:rPr>
                <w:sz w:val="24"/>
                <w:szCs w:val="24"/>
              </w:rPr>
              <w:t>Fiche de dénombrement des ménages SMART 2024-Mali</w:t>
            </w:r>
          </w:p>
          <w:p w14:paraId="01553162" w14:textId="501C9268" w:rsidR="006B695F" w:rsidRPr="006B695F" w:rsidRDefault="006B695F" w:rsidP="006B695F">
            <w:pPr>
              <w:pStyle w:val="Paragraphedeliste"/>
              <w:numPr>
                <w:ilvl w:val="0"/>
                <w:numId w:val="24"/>
              </w:numPr>
              <w:jc w:val="both"/>
              <w:cnfStyle w:val="000000000000" w:firstRow="0" w:lastRow="0" w:firstColumn="0" w:lastColumn="0" w:oddVBand="0" w:evenVBand="0" w:oddHBand="0" w:evenHBand="0" w:firstRowFirstColumn="0" w:firstRowLastColumn="0" w:lastRowFirstColumn="0" w:lastRowLastColumn="0"/>
              <w:rPr>
                <w:sz w:val="24"/>
                <w:szCs w:val="24"/>
              </w:rPr>
            </w:pPr>
            <w:r w:rsidRPr="006B695F">
              <w:rPr>
                <w:sz w:val="24"/>
                <w:szCs w:val="24"/>
              </w:rPr>
              <w:t>Fiche de sélection des ménages</w:t>
            </w:r>
          </w:p>
          <w:p w14:paraId="50C62FF0" w14:textId="5BE8B50F" w:rsidR="00725C12" w:rsidRPr="00725C12" w:rsidRDefault="00725C12" w:rsidP="00725C12">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FC3E4E" w:rsidRPr="000D614F" w14:paraId="6798F5E1" w14:textId="77777777" w:rsidTr="00794B6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0693E3F0" w14:textId="77777777" w:rsidR="00FC3E4E" w:rsidRPr="000D614F" w:rsidRDefault="00FC3E4E" w:rsidP="00B82C3E">
            <w:pPr>
              <w:rPr>
                <w:b w:val="0"/>
                <w:sz w:val="24"/>
                <w:szCs w:val="24"/>
              </w:rPr>
            </w:pPr>
            <w:r w:rsidRPr="000D614F">
              <w:rPr>
                <w:b w:val="0"/>
                <w:sz w:val="24"/>
                <w:szCs w:val="24"/>
              </w:rPr>
              <w:t>5</w:t>
            </w:r>
          </w:p>
        </w:tc>
        <w:tc>
          <w:tcPr>
            <w:tcW w:w="1487" w:type="pct"/>
            <w:vAlign w:val="center"/>
          </w:tcPr>
          <w:p w14:paraId="729C1659" w14:textId="28128D4A" w:rsidR="00FC3E4E" w:rsidRPr="00B61243" w:rsidRDefault="00FC3E4E"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B61243">
              <w:rPr>
                <w:bCs/>
                <w:sz w:val="24"/>
                <w:szCs w:val="24"/>
              </w:rPr>
              <w:t>Principaux indicateurs</w:t>
            </w:r>
            <w:r w:rsidR="00B82C3E" w:rsidRPr="00B61243">
              <w:rPr>
                <w:bCs/>
                <w:sz w:val="24"/>
                <w:szCs w:val="24"/>
              </w:rPr>
              <w:t xml:space="preserve"> </w:t>
            </w:r>
            <w:r w:rsidR="00E04D7C" w:rsidRPr="00B61243">
              <w:rPr>
                <w:bCs/>
                <w:sz w:val="24"/>
                <w:szCs w:val="24"/>
              </w:rPr>
              <w:t xml:space="preserve">clés </w:t>
            </w:r>
            <w:r w:rsidR="00B82C3E" w:rsidRPr="00B61243">
              <w:rPr>
                <w:bCs/>
                <w:sz w:val="24"/>
                <w:szCs w:val="24"/>
              </w:rPr>
              <w:t xml:space="preserve">renseignés </w:t>
            </w:r>
            <w:r w:rsidR="00E04D7C" w:rsidRPr="00B61243">
              <w:rPr>
                <w:bCs/>
                <w:sz w:val="24"/>
                <w:szCs w:val="24"/>
              </w:rPr>
              <w:t>(</w:t>
            </w:r>
            <w:r w:rsidR="00B82C3E" w:rsidRPr="00B61243">
              <w:rPr>
                <w:bCs/>
                <w:sz w:val="24"/>
                <w:szCs w:val="24"/>
                <w:u w:val="single"/>
              </w:rPr>
              <w:t>ou</w:t>
            </w:r>
            <w:r w:rsidR="00B82C3E" w:rsidRPr="00B61243">
              <w:rPr>
                <w:bCs/>
                <w:sz w:val="24"/>
                <w:szCs w:val="24"/>
              </w:rPr>
              <w:t xml:space="preserve"> </w:t>
            </w:r>
            <w:r w:rsidR="00B82C3E" w:rsidRPr="00B61243">
              <w:rPr>
                <w:bCs/>
                <w:sz w:val="24"/>
                <w:szCs w:val="24"/>
                <w:u w:val="single"/>
              </w:rPr>
              <w:t xml:space="preserve">disponibles </w:t>
            </w:r>
            <w:r w:rsidR="00E04D7C" w:rsidRPr="00B61243">
              <w:rPr>
                <w:bCs/>
                <w:sz w:val="24"/>
                <w:szCs w:val="24"/>
                <w:u w:val="single"/>
              </w:rPr>
              <w:t>sur le site web/</w:t>
            </w:r>
            <w:r w:rsidR="00B82C3E" w:rsidRPr="00B61243">
              <w:rPr>
                <w:bCs/>
                <w:sz w:val="24"/>
                <w:szCs w:val="24"/>
                <w:u w:val="single"/>
              </w:rPr>
              <w:t>base de données le cas échéant</w:t>
            </w:r>
            <w:r w:rsidR="00E04D7C" w:rsidRPr="00B61243">
              <w:rPr>
                <w:bCs/>
                <w:sz w:val="24"/>
                <w:szCs w:val="24"/>
                <w:u w:val="single"/>
              </w:rPr>
              <w:t>)</w:t>
            </w:r>
          </w:p>
        </w:tc>
        <w:tc>
          <w:tcPr>
            <w:tcW w:w="3277" w:type="pct"/>
            <w:vAlign w:val="center"/>
          </w:tcPr>
          <w:p w14:paraId="64E7B522" w14:textId="11004ADD" w:rsidR="00A400BA" w:rsidRDefault="00A400BA" w:rsidP="00DF5555">
            <w:pPr>
              <w:spacing w:before="73"/>
              <w:jc w:val="both"/>
              <w:cnfStyle w:val="000000100000" w:firstRow="0" w:lastRow="0" w:firstColumn="0" w:lastColumn="0" w:oddVBand="0" w:evenVBand="0" w:oddHBand="1" w:evenHBand="0" w:firstRowFirstColumn="0" w:firstRowLastColumn="0" w:lastRowFirstColumn="0" w:lastRowLastColumn="0"/>
              <w:rPr>
                <w:sz w:val="24"/>
              </w:rPr>
            </w:pPr>
            <w:r>
              <w:rPr>
                <w:b/>
                <w:color w:val="1B222C"/>
                <w:sz w:val="24"/>
              </w:rPr>
              <w:t>Nutrition</w:t>
            </w:r>
            <w:r>
              <w:rPr>
                <w:b/>
                <w:color w:val="1B222C"/>
                <w:spacing w:val="-3"/>
                <w:sz w:val="24"/>
              </w:rPr>
              <w:t xml:space="preserve"> </w:t>
            </w:r>
            <w:r>
              <w:rPr>
                <w:color w:val="1B222C"/>
                <w:spacing w:val="-10"/>
                <w:sz w:val="24"/>
              </w:rPr>
              <w:t>:</w:t>
            </w:r>
          </w:p>
          <w:p w14:paraId="281CD728" w14:textId="77777777" w:rsidR="00A400BA" w:rsidRDefault="00A400BA" w:rsidP="00A400BA">
            <w:pPr>
              <w:pStyle w:val="Paragraphedeliste"/>
              <w:widowControl w:val="0"/>
              <w:numPr>
                <w:ilvl w:val="0"/>
                <w:numId w:val="22"/>
              </w:numPr>
              <w:tabs>
                <w:tab w:val="left" w:pos="884"/>
              </w:tabs>
              <w:autoSpaceDE w:val="0"/>
              <w:autoSpaceDN w:val="0"/>
              <w:spacing w:before="157"/>
              <w:ind w:left="884" w:hanging="359"/>
              <w:contextualSpacing w:val="0"/>
              <w:jc w:val="both"/>
              <w:cnfStyle w:val="000000100000" w:firstRow="0" w:lastRow="0" w:firstColumn="0" w:lastColumn="0" w:oddVBand="0" w:evenVBand="0" w:oddHBand="1" w:evenHBand="0" w:firstRowFirstColumn="0" w:firstRowLastColumn="0" w:lastRowFirstColumn="0" w:lastRowLastColumn="0"/>
              <w:rPr>
                <w:sz w:val="24"/>
              </w:rPr>
            </w:pPr>
            <w:r>
              <w:rPr>
                <w:color w:val="1B222C"/>
                <w:sz w:val="24"/>
              </w:rPr>
              <w:t>Prévalences</w:t>
            </w:r>
            <w:r>
              <w:rPr>
                <w:color w:val="1B222C"/>
                <w:spacing w:val="10"/>
                <w:sz w:val="24"/>
              </w:rPr>
              <w:t xml:space="preserve"> </w:t>
            </w:r>
            <w:r>
              <w:rPr>
                <w:color w:val="1B222C"/>
                <w:sz w:val="24"/>
              </w:rPr>
              <w:t>de</w:t>
            </w:r>
            <w:r>
              <w:rPr>
                <w:color w:val="1B222C"/>
                <w:spacing w:val="13"/>
                <w:sz w:val="24"/>
              </w:rPr>
              <w:t xml:space="preserve"> </w:t>
            </w:r>
            <w:r>
              <w:rPr>
                <w:color w:val="1B222C"/>
                <w:sz w:val="24"/>
              </w:rPr>
              <w:t>la</w:t>
            </w:r>
            <w:r>
              <w:rPr>
                <w:color w:val="1B222C"/>
                <w:spacing w:val="13"/>
                <w:sz w:val="24"/>
              </w:rPr>
              <w:t xml:space="preserve"> </w:t>
            </w:r>
            <w:r>
              <w:rPr>
                <w:color w:val="1B222C"/>
                <w:sz w:val="24"/>
              </w:rPr>
              <w:t>malnutrition</w:t>
            </w:r>
            <w:r>
              <w:rPr>
                <w:color w:val="1B222C"/>
                <w:spacing w:val="14"/>
                <w:sz w:val="24"/>
              </w:rPr>
              <w:t xml:space="preserve"> </w:t>
            </w:r>
            <w:r>
              <w:rPr>
                <w:color w:val="1B222C"/>
                <w:sz w:val="24"/>
              </w:rPr>
              <w:t>aiguë,</w:t>
            </w:r>
            <w:r>
              <w:rPr>
                <w:color w:val="1B222C"/>
                <w:spacing w:val="12"/>
                <w:sz w:val="24"/>
              </w:rPr>
              <w:t xml:space="preserve"> </w:t>
            </w:r>
            <w:r>
              <w:rPr>
                <w:color w:val="1B222C"/>
                <w:sz w:val="24"/>
              </w:rPr>
              <w:t>du</w:t>
            </w:r>
            <w:r>
              <w:rPr>
                <w:color w:val="1B222C"/>
                <w:spacing w:val="14"/>
                <w:sz w:val="24"/>
              </w:rPr>
              <w:t xml:space="preserve"> </w:t>
            </w:r>
            <w:r>
              <w:rPr>
                <w:color w:val="1B222C"/>
                <w:sz w:val="24"/>
              </w:rPr>
              <w:t>retard</w:t>
            </w:r>
            <w:r>
              <w:rPr>
                <w:color w:val="1B222C"/>
                <w:spacing w:val="13"/>
                <w:sz w:val="24"/>
              </w:rPr>
              <w:t xml:space="preserve"> </w:t>
            </w:r>
            <w:r>
              <w:rPr>
                <w:color w:val="1B222C"/>
                <w:sz w:val="24"/>
              </w:rPr>
              <w:t>de</w:t>
            </w:r>
            <w:r>
              <w:rPr>
                <w:color w:val="1B222C"/>
                <w:spacing w:val="15"/>
                <w:sz w:val="24"/>
              </w:rPr>
              <w:t xml:space="preserve"> </w:t>
            </w:r>
            <w:r>
              <w:rPr>
                <w:color w:val="1B222C"/>
                <w:sz w:val="24"/>
              </w:rPr>
              <w:t>croissance,</w:t>
            </w:r>
            <w:r>
              <w:rPr>
                <w:color w:val="1B222C"/>
                <w:spacing w:val="11"/>
                <w:sz w:val="24"/>
              </w:rPr>
              <w:t xml:space="preserve"> </w:t>
            </w:r>
            <w:r>
              <w:rPr>
                <w:color w:val="1B222C"/>
                <w:sz w:val="24"/>
              </w:rPr>
              <w:t>de</w:t>
            </w:r>
            <w:r>
              <w:rPr>
                <w:color w:val="1B222C"/>
                <w:spacing w:val="11"/>
                <w:sz w:val="24"/>
              </w:rPr>
              <w:t xml:space="preserve"> </w:t>
            </w:r>
            <w:r>
              <w:rPr>
                <w:color w:val="1B222C"/>
                <w:sz w:val="24"/>
              </w:rPr>
              <w:t>l’insuffisance</w:t>
            </w:r>
            <w:r>
              <w:rPr>
                <w:color w:val="1B222C"/>
                <w:spacing w:val="11"/>
                <w:sz w:val="24"/>
              </w:rPr>
              <w:t xml:space="preserve"> </w:t>
            </w:r>
            <w:r>
              <w:rPr>
                <w:color w:val="1B222C"/>
                <w:sz w:val="24"/>
              </w:rPr>
              <w:t>pondérale,</w:t>
            </w:r>
            <w:r>
              <w:rPr>
                <w:color w:val="1B222C"/>
                <w:spacing w:val="12"/>
                <w:sz w:val="24"/>
              </w:rPr>
              <w:t xml:space="preserve"> </w:t>
            </w:r>
            <w:r>
              <w:rPr>
                <w:color w:val="1B222C"/>
                <w:spacing w:val="-5"/>
                <w:sz w:val="24"/>
              </w:rPr>
              <w:t>du</w:t>
            </w:r>
          </w:p>
          <w:p w14:paraId="7576F265" w14:textId="77777777" w:rsidR="00A400BA" w:rsidRDefault="00A400BA" w:rsidP="00A400BA">
            <w:pPr>
              <w:pStyle w:val="Corpsdetexte"/>
              <w:spacing w:before="39"/>
              <w:ind w:left="885"/>
              <w:cnfStyle w:val="000000100000" w:firstRow="0" w:lastRow="0" w:firstColumn="0" w:lastColumn="0" w:oddVBand="0" w:evenVBand="0" w:oddHBand="1" w:evenHBand="0" w:firstRowFirstColumn="0" w:firstRowLastColumn="0" w:lastRowFirstColumn="0" w:lastRowLastColumn="0"/>
            </w:pPr>
            <w:r>
              <w:rPr>
                <w:color w:val="1B222C"/>
              </w:rPr>
              <w:t>surpoids</w:t>
            </w:r>
            <w:r>
              <w:rPr>
                <w:color w:val="1B222C"/>
                <w:spacing w:val="-6"/>
              </w:rPr>
              <w:t xml:space="preserve"> </w:t>
            </w:r>
            <w:r>
              <w:rPr>
                <w:color w:val="1B222C"/>
              </w:rPr>
              <w:t>et</w:t>
            </w:r>
            <w:r>
              <w:rPr>
                <w:color w:val="1B222C"/>
                <w:spacing w:val="-3"/>
              </w:rPr>
              <w:t xml:space="preserve"> </w:t>
            </w:r>
            <w:r>
              <w:rPr>
                <w:color w:val="1B222C"/>
              </w:rPr>
              <w:t>de</w:t>
            </w:r>
            <w:r>
              <w:rPr>
                <w:color w:val="1B222C"/>
                <w:spacing w:val="-3"/>
              </w:rPr>
              <w:t xml:space="preserve"> </w:t>
            </w:r>
            <w:r>
              <w:rPr>
                <w:color w:val="1B222C"/>
              </w:rPr>
              <w:t>l’obésité</w:t>
            </w:r>
            <w:r>
              <w:rPr>
                <w:color w:val="1B222C"/>
                <w:spacing w:val="-1"/>
              </w:rPr>
              <w:t xml:space="preserve"> </w:t>
            </w:r>
            <w:r>
              <w:rPr>
                <w:color w:val="1B222C"/>
              </w:rPr>
              <w:t>chez</w:t>
            </w:r>
            <w:r>
              <w:rPr>
                <w:color w:val="1B222C"/>
                <w:spacing w:val="-4"/>
              </w:rPr>
              <w:t xml:space="preserve"> </w:t>
            </w:r>
            <w:r>
              <w:rPr>
                <w:color w:val="1B222C"/>
              </w:rPr>
              <w:t>les</w:t>
            </w:r>
            <w:r>
              <w:rPr>
                <w:color w:val="1B222C"/>
                <w:spacing w:val="-4"/>
              </w:rPr>
              <w:t xml:space="preserve"> </w:t>
            </w:r>
            <w:r>
              <w:rPr>
                <w:color w:val="1B222C"/>
                <w:spacing w:val="-2"/>
              </w:rPr>
              <w:t>enfants</w:t>
            </w:r>
          </w:p>
          <w:p w14:paraId="6F3DF6DD" w14:textId="77777777" w:rsidR="00A400BA" w:rsidRDefault="00A400BA" w:rsidP="00A400BA">
            <w:pPr>
              <w:pStyle w:val="Paragraphedeliste"/>
              <w:widowControl w:val="0"/>
              <w:numPr>
                <w:ilvl w:val="0"/>
                <w:numId w:val="22"/>
              </w:numPr>
              <w:tabs>
                <w:tab w:val="left" w:pos="884"/>
              </w:tabs>
              <w:autoSpaceDE w:val="0"/>
              <w:autoSpaceDN w:val="0"/>
              <w:spacing w:before="162"/>
              <w:ind w:left="884" w:hanging="359"/>
              <w:contextualSpacing w:val="0"/>
              <w:jc w:val="both"/>
              <w:cnfStyle w:val="000000100000" w:firstRow="0" w:lastRow="0" w:firstColumn="0" w:lastColumn="0" w:oddVBand="0" w:evenVBand="0" w:oddHBand="1" w:evenHBand="0" w:firstRowFirstColumn="0" w:firstRowLastColumn="0" w:lastRowFirstColumn="0" w:lastRowLastColumn="0"/>
              <w:rPr>
                <w:sz w:val="24"/>
              </w:rPr>
            </w:pPr>
            <w:r>
              <w:rPr>
                <w:color w:val="1B222C"/>
                <w:sz w:val="24"/>
              </w:rPr>
              <w:t>Prévalences</w:t>
            </w:r>
            <w:r>
              <w:rPr>
                <w:color w:val="1B222C"/>
                <w:spacing w:val="-6"/>
                <w:sz w:val="24"/>
              </w:rPr>
              <w:t xml:space="preserve"> </w:t>
            </w:r>
            <w:r>
              <w:rPr>
                <w:color w:val="1B222C"/>
                <w:sz w:val="24"/>
              </w:rPr>
              <w:t>de</w:t>
            </w:r>
            <w:r>
              <w:rPr>
                <w:color w:val="1B222C"/>
                <w:spacing w:val="-3"/>
                <w:sz w:val="24"/>
              </w:rPr>
              <w:t xml:space="preserve"> </w:t>
            </w:r>
            <w:r>
              <w:rPr>
                <w:color w:val="1B222C"/>
                <w:sz w:val="24"/>
              </w:rPr>
              <w:t>la</w:t>
            </w:r>
            <w:r>
              <w:rPr>
                <w:color w:val="1B222C"/>
                <w:spacing w:val="-2"/>
                <w:sz w:val="24"/>
              </w:rPr>
              <w:t xml:space="preserve"> </w:t>
            </w:r>
            <w:r>
              <w:rPr>
                <w:color w:val="1B222C"/>
                <w:sz w:val="24"/>
              </w:rPr>
              <w:t>maigreur</w:t>
            </w:r>
            <w:r>
              <w:rPr>
                <w:color w:val="1B222C"/>
                <w:spacing w:val="-6"/>
                <w:sz w:val="24"/>
              </w:rPr>
              <w:t xml:space="preserve"> </w:t>
            </w:r>
            <w:r>
              <w:rPr>
                <w:color w:val="1B222C"/>
                <w:sz w:val="24"/>
              </w:rPr>
              <w:t>et</w:t>
            </w:r>
            <w:r>
              <w:rPr>
                <w:color w:val="1B222C"/>
                <w:spacing w:val="-2"/>
                <w:sz w:val="24"/>
              </w:rPr>
              <w:t xml:space="preserve"> </w:t>
            </w:r>
            <w:r>
              <w:rPr>
                <w:color w:val="1B222C"/>
                <w:sz w:val="24"/>
              </w:rPr>
              <w:t>du</w:t>
            </w:r>
            <w:r>
              <w:rPr>
                <w:color w:val="1B222C"/>
                <w:spacing w:val="-3"/>
                <w:sz w:val="24"/>
              </w:rPr>
              <w:t xml:space="preserve"> </w:t>
            </w:r>
            <w:r>
              <w:rPr>
                <w:color w:val="1B222C"/>
                <w:sz w:val="24"/>
              </w:rPr>
              <w:t>surpoids/obésité chez</w:t>
            </w:r>
            <w:r>
              <w:rPr>
                <w:color w:val="1B222C"/>
                <w:spacing w:val="-7"/>
                <w:sz w:val="24"/>
              </w:rPr>
              <w:t xml:space="preserve"> </w:t>
            </w:r>
            <w:r>
              <w:rPr>
                <w:color w:val="1B222C"/>
                <w:sz w:val="24"/>
              </w:rPr>
              <w:lastRenderedPageBreak/>
              <w:t>les</w:t>
            </w:r>
            <w:r>
              <w:rPr>
                <w:color w:val="1B222C"/>
                <w:spacing w:val="-2"/>
                <w:sz w:val="24"/>
              </w:rPr>
              <w:t xml:space="preserve"> </w:t>
            </w:r>
            <w:r>
              <w:rPr>
                <w:color w:val="1B222C"/>
                <w:sz w:val="24"/>
              </w:rPr>
              <w:t>femmes</w:t>
            </w:r>
            <w:r>
              <w:rPr>
                <w:color w:val="1B222C"/>
                <w:spacing w:val="-4"/>
                <w:sz w:val="24"/>
              </w:rPr>
              <w:t xml:space="preserve"> </w:t>
            </w:r>
            <w:r>
              <w:rPr>
                <w:color w:val="1B222C"/>
                <w:sz w:val="24"/>
              </w:rPr>
              <w:t>et</w:t>
            </w:r>
            <w:r>
              <w:rPr>
                <w:color w:val="1B222C"/>
                <w:spacing w:val="-4"/>
                <w:sz w:val="24"/>
              </w:rPr>
              <w:t xml:space="preserve"> </w:t>
            </w:r>
            <w:r>
              <w:rPr>
                <w:color w:val="1B222C"/>
                <w:spacing w:val="-2"/>
                <w:sz w:val="24"/>
              </w:rPr>
              <w:t>adolescents(es).</w:t>
            </w:r>
          </w:p>
          <w:p w14:paraId="373464F6" w14:textId="0C46E1CF" w:rsidR="00A400BA" w:rsidRDefault="00A400BA" w:rsidP="00DF5555">
            <w:pPr>
              <w:pStyle w:val="Corpsdetexte"/>
              <w:spacing w:before="147"/>
              <w:jc w:val="both"/>
              <w:cnfStyle w:val="000000100000" w:firstRow="0" w:lastRow="0" w:firstColumn="0" w:lastColumn="0" w:oddVBand="0" w:evenVBand="0" w:oddHBand="1" w:evenHBand="0" w:firstRowFirstColumn="0" w:firstRowLastColumn="0" w:lastRowFirstColumn="0" w:lastRowLastColumn="0"/>
            </w:pPr>
            <w:r>
              <w:rPr>
                <w:b/>
                <w:color w:val="1B222C"/>
              </w:rPr>
              <w:t>Mortalité</w:t>
            </w:r>
            <w:r>
              <w:rPr>
                <w:b/>
                <w:color w:val="1B222C"/>
                <w:spacing w:val="-1"/>
              </w:rPr>
              <w:t xml:space="preserve"> </w:t>
            </w:r>
            <w:r>
              <w:rPr>
                <w:color w:val="1B222C"/>
              </w:rPr>
              <w:t>:</w:t>
            </w:r>
            <w:r>
              <w:rPr>
                <w:color w:val="1B222C"/>
                <w:spacing w:val="-2"/>
              </w:rPr>
              <w:t xml:space="preserve"> </w:t>
            </w:r>
            <w:r>
              <w:rPr>
                <w:color w:val="1B222C"/>
              </w:rPr>
              <w:t>taux</w:t>
            </w:r>
            <w:r>
              <w:rPr>
                <w:color w:val="1B222C"/>
                <w:spacing w:val="-2"/>
              </w:rPr>
              <w:t xml:space="preserve"> </w:t>
            </w:r>
            <w:r>
              <w:rPr>
                <w:color w:val="1B222C"/>
              </w:rPr>
              <w:t>de</w:t>
            </w:r>
            <w:r>
              <w:rPr>
                <w:color w:val="1B222C"/>
                <w:spacing w:val="-2"/>
              </w:rPr>
              <w:t xml:space="preserve"> </w:t>
            </w:r>
            <w:r>
              <w:rPr>
                <w:color w:val="1B222C"/>
              </w:rPr>
              <w:t>décès</w:t>
            </w:r>
            <w:r>
              <w:rPr>
                <w:color w:val="1B222C"/>
                <w:spacing w:val="-4"/>
              </w:rPr>
              <w:t xml:space="preserve"> </w:t>
            </w:r>
            <w:r>
              <w:rPr>
                <w:color w:val="1B222C"/>
              </w:rPr>
              <w:t>brut</w:t>
            </w:r>
            <w:r>
              <w:rPr>
                <w:color w:val="1B222C"/>
                <w:spacing w:val="-2"/>
              </w:rPr>
              <w:t xml:space="preserve"> </w:t>
            </w:r>
            <w:r>
              <w:rPr>
                <w:color w:val="1B222C"/>
              </w:rPr>
              <w:t>dans</w:t>
            </w:r>
            <w:r>
              <w:rPr>
                <w:color w:val="1B222C"/>
                <w:spacing w:val="-3"/>
              </w:rPr>
              <w:t xml:space="preserve"> </w:t>
            </w:r>
            <w:r>
              <w:rPr>
                <w:color w:val="1B222C"/>
              </w:rPr>
              <w:t>la</w:t>
            </w:r>
            <w:r>
              <w:rPr>
                <w:color w:val="1B222C"/>
                <w:spacing w:val="-4"/>
              </w:rPr>
              <w:t xml:space="preserve"> </w:t>
            </w:r>
            <w:r>
              <w:rPr>
                <w:color w:val="1B222C"/>
              </w:rPr>
              <w:t>population</w:t>
            </w:r>
            <w:r>
              <w:rPr>
                <w:color w:val="1B222C"/>
                <w:spacing w:val="-3"/>
              </w:rPr>
              <w:t xml:space="preserve"> </w:t>
            </w:r>
            <w:r>
              <w:rPr>
                <w:color w:val="1B222C"/>
              </w:rPr>
              <w:t>générale</w:t>
            </w:r>
            <w:r>
              <w:rPr>
                <w:color w:val="1B222C"/>
                <w:spacing w:val="-2"/>
              </w:rPr>
              <w:t xml:space="preserve"> </w:t>
            </w:r>
            <w:r>
              <w:rPr>
                <w:color w:val="1B222C"/>
              </w:rPr>
              <w:t>et</w:t>
            </w:r>
            <w:r>
              <w:rPr>
                <w:color w:val="1B222C"/>
                <w:spacing w:val="-4"/>
              </w:rPr>
              <w:t xml:space="preserve"> </w:t>
            </w:r>
            <w:r>
              <w:rPr>
                <w:color w:val="1B222C"/>
              </w:rPr>
              <w:t>chez</w:t>
            </w:r>
            <w:r>
              <w:rPr>
                <w:color w:val="1B222C"/>
                <w:spacing w:val="-3"/>
              </w:rPr>
              <w:t xml:space="preserve"> </w:t>
            </w:r>
            <w:r>
              <w:rPr>
                <w:color w:val="1B222C"/>
              </w:rPr>
              <w:t>les</w:t>
            </w:r>
            <w:r>
              <w:rPr>
                <w:color w:val="1B222C"/>
                <w:spacing w:val="-3"/>
              </w:rPr>
              <w:t xml:space="preserve"> </w:t>
            </w:r>
            <w:r>
              <w:rPr>
                <w:color w:val="1B222C"/>
              </w:rPr>
              <w:t>moins</w:t>
            </w:r>
            <w:r>
              <w:rPr>
                <w:color w:val="1B222C"/>
                <w:spacing w:val="-4"/>
              </w:rPr>
              <w:t xml:space="preserve"> </w:t>
            </w:r>
            <w:r>
              <w:rPr>
                <w:color w:val="1B222C"/>
              </w:rPr>
              <w:t>de</w:t>
            </w:r>
            <w:r>
              <w:rPr>
                <w:color w:val="1B222C"/>
                <w:spacing w:val="-3"/>
              </w:rPr>
              <w:t xml:space="preserve"> </w:t>
            </w:r>
            <w:r>
              <w:rPr>
                <w:color w:val="1B222C"/>
              </w:rPr>
              <w:t>5</w:t>
            </w:r>
            <w:r>
              <w:rPr>
                <w:color w:val="1B222C"/>
                <w:spacing w:val="-2"/>
              </w:rPr>
              <w:t xml:space="preserve"> </w:t>
            </w:r>
            <w:r>
              <w:rPr>
                <w:color w:val="1B222C"/>
                <w:spacing w:val="-4"/>
              </w:rPr>
              <w:t>ans.</w:t>
            </w:r>
          </w:p>
          <w:p w14:paraId="701201C3" w14:textId="511E9CDC" w:rsidR="00A400BA" w:rsidRDefault="00A400BA" w:rsidP="00DF5555">
            <w:pPr>
              <w:pStyle w:val="Corpsdetexte"/>
              <w:spacing w:before="148" w:line="276" w:lineRule="auto"/>
              <w:ind w:right="301"/>
              <w:jc w:val="both"/>
              <w:cnfStyle w:val="000000100000" w:firstRow="0" w:lastRow="0" w:firstColumn="0" w:lastColumn="0" w:oddVBand="0" w:evenVBand="0" w:oddHBand="1" w:evenHBand="0" w:firstRowFirstColumn="0" w:firstRowLastColumn="0" w:lastRowFirstColumn="0" w:lastRowLastColumn="0"/>
            </w:pPr>
            <w:r>
              <w:rPr>
                <w:b/>
                <w:color w:val="1B222C"/>
              </w:rPr>
              <w:t xml:space="preserve">Pratiques d’Alimentation du Nourrisson et du Jeune Enfant (ANJE, 0-23 mois) </w:t>
            </w:r>
            <w:r>
              <w:rPr>
                <w:color w:val="1B222C"/>
              </w:rPr>
              <w:t xml:space="preserve">: Prévalences de : la mise au sein précoce dans les 30 mn qui suivent l’accouchement ; </w:t>
            </w:r>
            <w:r>
              <w:t>Allaitement dans les deux premiers jours après la naissance ; allaitement exclusif de la naissance jusqu’à l’âge de 6 mois ; allaitement mixte de la naissance avant l’âge de 6 mois ; poursuite</w:t>
            </w:r>
            <w:r>
              <w:rPr>
                <w:spacing w:val="-14"/>
              </w:rPr>
              <w:t xml:space="preserve"> </w:t>
            </w:r>
            <w:r>
              <w:t>de</w:t>
            </w:r>
            <w:r>
              <w:rPr>
                <w:spacing w:val="-14"/>
              </w:rPr>
              <w:t xml:space="preserve"> </w:t>
            </w:r>
            <w:r>
              <w:t>l’allaitement</w:t>
            </w:r>
            <w:r>
              <w:rPr>
                <w:spacing w:val="-14"/>
              </w:rPr>
              <w:t xml:space="preserve"> </w:t>
            </w:r>
            <w:r>
              <w:t>à</w:t>
            </w:r>
            <w:r>
              <w:rPr>
                <w:spacing w:val="-13"/>
              </w:rPr>
              <w:t xml:space="preserve"> </w:t>
            </w:r>
            <w:r>
              <w:t>l’âge</w:t>
            </w:r>
            <w:r>
              <w:rPr>
                <w:spacing w:val="-14"/>
              </w:rPr>
              <w:t xml:space="preserve"> </w:t>
            </w:r>
            <w:r>
              <w:t>d’un</w:t>
            </w:r>
            <w:r>
              <w:rPr>
                <w:spacing w:val="-14"/>
              </w:rPr>
              <w:t xml:space="preserve"> </w:t>
            </w:r>
            <w:r>
              <w:t>an</w:t>
            </w:r>
            <w:r>
              <w:rPr>
                <w:spacing w:val="-13"/>
              </w:rPr>
              <w:t xml:space="preserve"> </w:t>
            </w:r>
            <w:r>
              <w:t>et</w:t>
            </w:r>
            <w:r>
              <w:rPr>
                <w:spacing w:val="-14"/>
              </w:rPr>
              <w:t xml:space="preserve"> </w:t>
            </w:r>
            <w:r>
              <w:t>à</w:t>
            </w:r>
            <w:r>
              <w:rPr>
                <w:spacing w:val="-14"/>
              </w:rPr>
              <w:t xml:space="preserve"> </w:t>
            </w:r>
            <w:r>
              <w:t>l'âge</w:t>
            </w:r>
            <w:r>
              <w:rPr>
                <w:spacing w:val="-13"/>
              </w:rPr>
              <w:t xml:space="preserve"> </w:t>
            </w:r>
            <w:r>
              <w:t>de</w:t>
            </w:r>
            <w:r>
              <w:rPr>
                <w:spacing w:val="-14"/>
              </w:rPr>
              <w:t xml:space="preserve"> </w:t>
            </w:r>
            <w:r>
              <w:t>deux</w:t>
            </w:r>
            <w:r>
              <w:rPr>
                <w:spacing w:val="-14"/>
              </w:rPr>
              <w:t xml:space="preserve"> </w:t>
            </w:r>
            <w:r>
              <w:t>ans</w:t>
            </w:r>
            <w:r>
              <w:rPr>
                <w:spacing w:val="-13"/>
              </w:rPr>
              <w:t xml:space="preserve"> </w:t>
            </w:r>
            <w:r>
              <w:t>ou</w:t>
            </w:r>
            <w:r>
              <w:rPr>
                <w:spacing w:val="-14"/>
              </w:rPr>
              <w:t xml:space="preserve"> </w:t>
            </w:r>
            <w:r>
              <w:t>plus</w:t>
            </w:r>
            <w:r>
              <w:rPr>
                <w:spacing w:val="-14"/>
              </w:rPr>
              <w:t xml:space="preserve"> </w:t>
            </w:r>
            <w:r>
              <w:t>;</w:t>
            </w:r>
            <w:r>
              <w:rPr>
                <w:spacing w:val="-13"/>
              </w:rPr>
              <w:t xml:space="preserve"> </w:t>
            </w:r>
            <w:r>
              <w:t>introduction</w:t>
            </w:r>
            <w:r>
              <w:rPr>
                <w:spacing w:val="-14"/>
              </w:rPr>
              <w:t xml:space="preserve"> </w:t>
            </w:r>
            <w:r>
              <w:t>des</w:t>
            </w:r>
            <w:r>
              <w:rPr>
                <w:spacing w:val="-14"/>
              </w:rPr>
              <w:t xml:space="preserve"> </w:t>
            </w:r>
            <w:r>
              <w:t>aliments de complément</w:t>
            </w:r>
            <w:r>
              <w:rPr>
                <w:spacing w:val="-3"/>
              </w:rPr>
              <w:t xml:space="preserve"> </w:t>
            </w:r>
            <w:r>
              <w:t>: solide, mou et semi solide (enfants de 6-8 mois) ; diversification alimentaire minimum (6</w:t>
            </w:r>
            <w:r>
              <w:rPr>
                <w:color w:val="1B222C"/>
              </w:rPr>
              <w:t>-23 mois) ; nombre minimum de repas (6-23 mois) ; apport alimentaire minimum acceptable (6-23 mois).</w:t>
            </w:r>
          </w:p>
          <w:p w14:paraId="7DDA9238" w14:textId="5DB79076" w:rsidR="00A400BA" w:rsidRDefault="00A400BA" w:rsidP="00DF5555">
            <w:pPr>
              <w:pStyle w:val="Corpsdetexte"/>
              <w:spacing w:before="102" w:line="273" w:lineRule="auto"/>
              <w:ind w:right="301"/>
              <w:jc w:val="both"/>
              <w:cnfStyle w:val="000000100000" w:firstRow="0" w:lastRow="0" w:firstColumn="0" w:lastColumn="0" w:oddVBand="0" w:evenVBand="0" w:oddHBand="1" w:evenHBand="0" w:firstRowFirstColumn="0" w:firstRowLastColumn="0" w:lastRowFirstColumn="0" w:lastRowLastColumn="0"/>
            </w:pPr>
            <w:r>
              <w:rPr>
                <w:b/>
                <w:color w:val="1B222C"/>
              </w:rPr>
              <w:t>Santé</w:t>
            </w:r>
            <w:r>
              <w:rPr>
                <w:b/>
                <w:color w:val="1B222C"/>
                <w:spacing w:val="-1"/>
              </w:rPr>
              <w:t xml:space="preserve"> </w:t>
            </w:r>
            <w:r>
              <w:rPr>
                <w:color w:val="1B222C"/>
              </w:rPr>
              <w:t xml:space="preserve">: </w:t>
            </w:r>
            <w:r>
              <w:t>Fréquence de survenue des épisodes de diarrhée (au moins trois selles molles ou liquide</w:t>
            </w:r>
            <w:r>
              <w:rPr>
                <w:spacing w:val="-3"/>
              </w:rPr>
              <w:t xml:space="preserve"> </w:t>
            </w:r>
            <w:r>
              <w:t>par</w:t>
            </w:r>
            <w:r>
              <w:rPr>
                <w:spacing w:val="-5"/>
              </w:rPr>
              <w:t xml:space="preserve"> </w:t>
            </w:r>
            <w:r>
              <w:t>jour)</w:t>
            </w:r>
            <w:r>
              <w:rPr>
                <w:spacing w:val="-6"/>
              </w:rPr>
              <w:t xml:space="preserve"> </w:t>
            </w:r>
            <w:r>
              <w:t>au</w:t>
            </w:r>
            <w:r>
              <w:rPr>
                <w:spacing w:val="-4"/>
              </w:rPr>
              <w:t xml:space="preserve"> </w:t>
            </w:r>
            <w:r>
              <w:t>cours</w:t>
            </w:r>
            <w:r>
              <w:rPr>
                <w:spacing w:val="-5"/>
              </w:rPr>
              <w:t xml:space="preserve"> </w:t>
            </w:r>
            <w:r>
              <w:t>des</w:t>
            </w:r>
            <w:r>
              <w:rPr>
                <w:spacing w:val="-4"/>
              </w:rPr>
              <w:t xml:space="preserve"> </w:t>
            </w:r>
            <w:r>
              <w:t>deux</w:t>
            </w:r>
            <w:r>
              <w:rPr>
                <w:spacing w:val="-4"/>
              </w:rPr>
              <w:t xml:space="preserve"> </w:t>
            </w:r>
            <w:r>
              <w:t>semaines</w:t>
            </w:r>
            <w:r>
              <w:rPr>
                <w:spacing w:val="-7"/>
              </w:rPr>
              <w:t xml:space="preserve"> </w:t>
            </w:r>
            <w:r>
              <w:t>précédant</w:t>
            </w:r>
            <w:r>
              <w:rPr>
                <w:spacing w:val="-6"/>
              </w:rPr>
              <w:t xml:space="preserve"> </w:t>
            </w:r>
            <w:r>
              <w:t>l’enquête,</w:t>
            </w:r>
            <w:r>
              <w:rPr>
                <w:spacing w:val="-4"/>
              </w:rPr>
              <w:t xml:space="preserve"> </w:t>
            </w:r>
            <w:r>
              <w:t>la</w:t>
            </w:r>
            <w:r>
              <w:rPr>
                <w:spacing w:val="-6"/>
              </w:rPr>
              <w:t xml:space="preserve"> </w:t>
            </w:r>
            <w:r>
              <w:t>fréquence</w:t>
            </w:r>
            <w:r>
              <w:rPr>
                <w:spacing w:val="-4"/>
              </w:rPr>
              <w:t xml:space="preserve"> </w:t>
            </w:r>
            <w:r>
              <w:t>de</w:t>
            </w:r>
            <w:r>
              <w:rPr>
                <w:spacing w:val="-4"/>
              </w:rPr>
              <w:t xml:space="preserve"> </w:t>
            </w:r>
            <w:r>
              <w:t>survenue</w:t>
            </w:r>
            <w:r>
              <w:rPr>
                <w:spacing w:val="-4"/>
              </w:rPr>
              <w:t xml:space="preserve"> </w:t>
            </w:r>
            <w:r>
              <w:t xml:space="preserve">de la fièvre/palu avec ou sans convulsion au cours des deux semaines précédant l’enquête, la fréquence de survenue des IRA (toux aigüe + fièvre) au cours des deux semaines précédant </w:t>
            </w:r>
            <w:r>
              <w:rPr>
                <w:spacing w:val="-2"/>
              </w:rPr>
              <w:t>l’enquête.</w:t>
            </w:r>
          </w:p>
          <w:p w14:paraId="57D027F0" w14:textId="07A5EC04" w:rsidR="00240673" w:rsidRPr="00DF5555" w:rsidRDefault="00A400BA" w:rsidP="00DF5555">
            <w:p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DF5555">
              <w:rPr>
                <w:b/>
                <w:color w:val="1B222C"/>
              </w:rPr>
              <w:t>Couverture</w:t>
            </w:r>
            <w:r w:rsidRPr="00DF5555">
              <w:rPr>
                <w:b/>
                <w:color w:val="1B222C"/>
                <w:spacing w:val="-10"/>
              </w:rPr>
              <w:t xml:space="preserve"> </w:t>
            </w:r>
            <w:r w:rsidRPr="00DF5555">
              <w:rPr>
                <w:b/>
                <w:color w:val="1B222C"/>
              </w:rPr>
              <w:t>des</w:t>
            </w:r>
            <w:r w:rsidRPr="00DF5555">
              <w:rPr>
                <w:b/>
                <w:color w:val="1B222C"/>
                <w:spacing w:val="-10"/>
              </w:rPr>
              <w:t xml:space="preserve"> </w:t>
            </w:r>
            <w:r w:rsidRPr="00DF5555">
              <w:rPr>
                <w:b/>
                <w:color w:val="1B222C"/>
              </w:rPr>
              <w:t xml:space="preserve">services </w:t>
            </w:r>
            <w:r w:rsidRPr="00DF5555">
              <w:rPr>
                <w:color w:val="1B222C"/>
              </w:rPr>
              <w:t>:</w:t>
            </w:r>
            <w:r w:rsidRPr="00DF5555">
              <w:rPr>
                <w:color w:val="1B222C"/>
                <w:spacing w:val="-12"/>
              </w:rPr>
              <w:t xml:space="preserve"> </w:t>
            </w:r>
            <w:r w:rsidRPr="00DF5555">
              <w:rPr>
                <w:color w:val="1B222C"/>
              </w:rPr>
              <w:t>Pourcentage</w:t>
            </w:r>
            <w:r w:rsidRPr="00DF5555">
              <w:rPr>
                <w:color w:val="1B222C"/>
                <w:spacing w:val="-12"/>
              </w:rPr>
              <w:t xml:space="preserve"> </w:t>
            </w:r>
            <w:r w:rsidRPr="00DF5555">
              <w:rPr>
                <w:color w:val="1B222C"/>
              </w:rPr>
              <w:t>d’enfants</w:t>
            </w:r>
            <w:r w:rsidRPr="00DF5555">
              <w:rPr>
                <w:color w:val="1B222C"/>
                <w:spacing w:val="-12"/>
              </w:rPr>
              <w:t xml:space="preserve"> </w:t>
            </w:r>
            <w:r w:rsidRPr="00DF5555">
              <w:rPr>
                <w:color w:val="1B222C"/>
              </w:rPr>
              <w:t>supplémentés</w:t>
            </w:r>
            <w:r w:rsidRPr="00DF5555">
              <w:rPr>
                <w:color w:val="1B222C"/>
                <w:spacing w:val="-13"/>
              </w:rPr>
              <w:t xml:space="preserve"> </w:t>
            </w:r>
            <w:r w:rsidRPr="00DF5555">
              <w:rPr>
                <w:color w:val="1B222C"/>
              </w:rPr>
              <w:t>en</w:t>
            </w:r>
            <w:r w:rsidRPr="00DF5555">
              <w:rPr>
                <w:color w:val="1B222C"/>
                <w:spacing w:val="-12"/>
              </w:rPr>
              <w:t xml:space="preserve"> </w:t>
            </w:r>
            <w:r w:rsidRPr="00DF5555">
              <w:rPr>
                <w:color w:val="1B222C"/>
              </w:rPr>
              <w:t>vitamine</w:t>
            </w:r>
            <w:r w:rsidRPr="00DF5555">
              <w:rPr>
                <w:color w:val="1B222C"/>
                <w:spacing w:val="-11"/>
              </w:rPr>
              <w:t xml:space="preserve"> </w:t>
            </w:r>
            <w:r w:rsidRPr="00DF5555">
              <w:rPr>
                <w:color w:val="1B222C"/>
              </w:rPr>
              <w:t>A</w:t>
            </w:r>
            <w:r w:rsidRPr="00DF5555">
              <w:rPr>
                <w:color w:val="1B222C"/>
                <w:spacing w:val="-12"/>
              </w:rPr>
              <w:t xml:space="preserve"> </w:t>
            </w:r>
            <w:r w:rsidRPr="00DF5555">
              <w:rPr>
                <w:color w:val="1B222C"/>
              </w:rPr>
              <w:t>dans</w:t>
            </w:r>
            <w:r w:rsidRPr="00DF5555">
              <w:rPr>
                <w:color w:val="1B222C"/>
                <w:spacing w:val="-10"/>
              </w:rPr>
              <w:t xml:space="preserve"> </w:t>
            </w:r>
            <w:r w:rsidRPr="00DF5555">
              <w:rPr>
                <w:color w:val="1B222C"/>
              </w:rPr>
              <w:t>les</w:t>
            </w:r>
            <w:r w:rsidRPr="00DF5555">
              <w:rPr>
                <w:color w:val="1B222C"/>
                <w:spacing w:val="-10"/>
              </w:rPr>
              <w:t xml:space="preserve"> </w:t>
            </w:r>
            <w:r w:rsidRPr="00DF5555">
              <w:rPr>
                <w:color w:val="1B222C"/>
              </w:rPr>
              <w:t>6</w:t>
            </w:r>
            <w:r w:rsidRPr="00DF5555">
              <w:rPr>
                <w:color w:val="1B222C"/>
                <w:spacing w:val="-12"/>
              </w:rPr>
              <w:t xml:space="preserve"> </w:t>
            </w:r>
            <w:r w:rsidRPr="00DF5555">
              <w:rPr>
                <w:color w:val="1B222C"/>
              </w:rPr>
              <w:t>mois précédant l’enquête (de 6 à 59 mois), pourcentage d’enfants déparasités dans les 6 mois précédant l’enquête (de 12 à 59 mois).</w:t>
            </w:r>
            <w:r w:rsidRPr="00DF5555">
              <w:rPr>
                <w:rFonts w:ascii="Calibri" w:eastAsia="Times New Roman" w:hAnsi="Calibri" w:cs="Calibri"/>
                <w:color w:val="000000"/>
                <w:lang w:eastAsia="fr-FR"/>
              </w:rPr>
              <w:t xml:space="preserve"> </w:t>
            </w:r>
          </w:p>
        </w:tc>
      </w:tr>
      <w:tr w:rsidR="00FC3E4E" w:rsidRPr="000D614F" w14:paraId="4E7EC51A" w14:textId="77777777" w:rsidTr="00794B68">
        <w:trPr>
          <w:trHeight w:val="219"/>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21DB4D1" w14:textId="6B8C5585" w:rsidR="00FC3E4E" w:rsidRPr="000D614F" w:rsidRDefault="00FB2D76" w:rsidP="00B82C3E">
            <w:pPr>
              <w:rPr>
                <w:b w:val="0"/>
                <w:sz w:val="24"/>
                <w:szCs w:val="24"/>
              </w:rPr>
            </w:pPr>
            <w:r>
              <w:rPr>
                <w:b w:val="0"/>
                <w:sz w:val="24"/>
                <w:szCs w:val="24"/>
              </w:rPr>
              <w:lastRenderedPageBreak/>
              <w:t>6</w:t>
            </w:r>
          </w:p>
        </w:tc>
        <w:tc>
          <w:tcPr>
            <w:tcW w:w="1487" w:type="pct"/>
            <w:vAlign w:val="center"/>
          </w:tcPr>
          <w:p w14:paraId="78AEAE55" w14:textId="09A52BC5" w:rsidR="00FC3E4E" w:rsidRPr="00B61243"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B61243">
              <w:rPr>
                <w:bCs/>
                <w:sz w:val="24"/>
                <w:szCs w:val="24"/>
              </w:rPr>
              <w:t>Utilisateurs (Cibles)</w:t>
            </w:r>
          </w:p>
        </w:tc>
        <w:tc>
          <w:tcPr>
            <w:tcW w:w="3277" w:type="pct"/>
            <w:vAlign w:val="center"/>
          </w:tcPr>
          <w:p w14:paraId="05A63CF7" w14:textId="6B2A81A4" w:rsidR="00186B1C" w:rsidRPr="00186B1C" w:rsidRDefault="00240673" w:rsidP="00186B1C">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sz w:val="20"/>
                <w:szCs w:val="20"/>
              </w:rPr>
            </w:pPr>
            <w:r w:rsidRPr="00186B1C">
              <w:rPr>
                <w:sz w:val="20"/>
                <w:szCs w:val="20"/>
              </w:rPr>
              <w:t>Services publics de l’Etat (CT/CSLP, CPS,</w:t>
            </w:r>
            <w:r w:rsidR="00186B1C" w:rsidRPr="00186B1C">
              <w:rPr>
                <w:sz w:val="20"/>
                <w:szCs w:val="20"/>
              </w:rPr>
              <w:t xml:space="preserve"> INSTAT</w:t>
            </w:r>
            <w:r w:rsidRPr="00186B1C">
              <w:rPr>
                <w:sz w:val="20"/>
                <w:szCs w:val="20"/>
              </w:rPr>
              <w:t>…</w:t>
            </w:r>
            <w:r w:rsidR="00186B1C" w:rsidRPr="00186B1C">
              <w:rPr>
                <w:sz w:val="20"/>
                <w:szCs w:val="20"/>
              </w:rPr>
              <w:t>) ;</w:t>
            </w:r>
          </w:p>
          <w:p w14:paraId="3A17F9F3" w14:textId="27BCCE4E" w:rsidR="00FC3E4E" w:rsidRPr="00186B1C" w:rsidRDefault="00240673" w:rsidP="00186B1C">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sz w:val="20"/>
                <w:szCs w:val="20"/>
              </w:rPr>
            </w:pPr>
            <w:r w:rsidRPr="00186B1C">
              <w:rPr>
                <w:sz w:val="20"/>
                <w:szCs w:val="20"/>
              </w:rPr>
              <w:t>Monde universitaire</w:t>
            </w:r>
            <w:r w:rsidR="00186B1C" w:rsidRPr="00186B1C">
              <w:rPr>
                <w:sz w:val="20"/>
                <w:szCs w:val="20"/>
              </w:rPr>
              <w:t> ;</w:t>
            </w:r>
          </w:p>
          <w:p w14:paraId="5E802A88" w14:textId="77777777" w:rsidR="00186B1C" w:rsidRPr="00186B1C" w:rsidRDefault="00186B1C" w:rsidP="00186B1C">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sz w:val="20"/>
                <w:szCs w:val="20"/>
              </w:rPr>
            </w:pPr>
            <w:r w:rsidRPr="00186B1C">
              <w:rPr>
                <w:sz w:val="20"/>
                <w:szCs w:val="20"/>
              </w:rPr>
              <w:t>Agences de Nations Unies ;</w:t>
            </w:r>
          </w:p>
          <w:p w14:paraId="4D00BFDA" w14:textId="77777777" w:rsidR="00186B1C" w:rsidRPr="00820482" w:rsidRDefault="00186B1C" w:rsidP="00186B1C">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sz w:val="24"/>
                <w:szCs w:val="24"/>
              </w:rPr>
            </w:pPr>
            <w:r w:rsidRPr="00186B1C">
              <w:rPr>
                <w:sz w:val="20"/>
                <w:szCs w:val="20"/>
              </w:rPr>
              <w:t>ONG.</w:t>
            </w:r>
          </w:p>
          <w:p w14:paraId="6062EF2F" w14:textId="6DAA6F57" w:rsidR="00820482" w:rsidRPr="00186B1C" w:rsidRDefault="00820482" w:rsidP="00186B1C">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Etc.</w:t>
            </w:r>
          </w:p>
        </w:tc>
      </w:tr>
      <w:tr w:rsidR="00FC3E4E" w:rsidRPr="000D614F" w14:paraId="229E8B8E" w14:textId="77777777" w:rsidTr="00794B68">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05C46EA" w14:textId="77777777" w:rsidR="00FC3E4E" w:rsidRPr="000D614F" w:rsidRDefault="00FC3E4E" w:rsidP="00B82C3E">
            <w:pPr>
              <w:rPr>
                <w:b w:val="0"/>
                <w:sz w:val="24"/>
                <w:szCs w:val="24"/>
              </w:rPr>
            </w:pPr>
            <w:r w:rsidRPr="000D614F">
              <w:rPr>
                <w:b w:val="0"/>
                <w:sz w:val="24"/>
                <w:szCs w:val="24"/>
              </w:rPr>
              <w:t>7</w:t>
            </w:r>
          </w:p>
        </w:tc>
        <w:tc>
          <w:tcPr>
            <w:tcW w:w="1487" w:type="pct"/>
            <w:vAlign w:val="center"/>
          </w:tcPr>
          <w:p w14:paraId="1F19825C" w14:textId="5DEA195D" w:rsidR="00FC3E4E" w:rsidRPr="000D614F" w:rsidRDefault="00FC3E4E"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Fréquence de production</w:t>
            </w:r>
            <w:r w:rsidR="003465DD" w:rsidRPr="000D614F">
              <w:rPr>
                <w:sz w:val="24"/>
                <w:szCs w:val="24"/>
              </w:rPr>
              <w:t>/Publication</w:t>
            </w:r>
          </w:p>
        </w:tc>
        <w:tc>
          <w:tcPr>
            <w:tcW w:w="3277" w:type="pct"/>
            <w:vAlign w:val="center"/>
          </w:tcPr>
          <w:p w14:paraId="30AAC6EF" w14:textId="772EA651" w:rsidR="00FC3E4E" w:rsidRPr="00186B1C" w:rsidRDefault="00820482" w:rsidP="00BA1F57">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w:t>
            </w:r>
            <w:r w:rsidR="00725C12">
              <w:rPr>
                <w:sz w:val="20"/>
                <w:szCs w:val="20"/>
              </w:rPr>
              <w:t>’enquête SMART est annuel</w:t>
            </w:r>
            <w:r w:rsidR="00DF5555">
              <w:rPr>
                <w:sz w:val="20"/>
                <w:szCs w:val="20"/>
              </w:rPr>
              <w:t>le</w:t>
            </w:r>
            <w:r w:rsidR="00725C12">
              <w:rPr>
                <w:sz w:val="20"/>
                <w:szCs w:val="20"/>
              </w:rPr>
              <w:t>.</w:t>
            </w:r>
          </w:p>
        </w:tc>
      </w:tr>
      <w:tr w:rsidR="00245BB8" w:rsidRPr="000D614F" w14:paraId="0AA46225" w14:textId="77777777" w:rsidTr="00794B68">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BB17291" w14:textId="5B6C87D9" w:rsidR="00245BB8" w:rsidRPr="000D614F" w:rsidRDefault="00245BB8" w:rsidP="00245BB8">
            <w:pPr>
              <w:rPr>
                <w:sz w:val="24"/>
                <w:szCs w:val="24"/>
              </w:rPr>
            </w:pPr>
            <w:r w:rsidRPr="000D614F">
              <w:rPr>
                <w:b w:val="0"/>
                <w:sz w:val="24"/>
                <w:szCs w:val="24"/>
              </w:rPr>
              <w:t>8</w:t>
            </w:r>
          </w:p>
        </w:tc>
        <w:tc>
          <w:tcPr>
            <w:tcW w:w="1487" w:type="pct"/>
            <w:vAlign w:val="center"/>
          </w:tcPr>
          <w:p w14:paraId="21850184" w14:textId="778B5609" w:rsidR="00245BB8" w:rsidRPr="000D614F" w:rsidRDefault="00245BB8"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Thématiques couvertes</w:t>
            </w:r>
          </w:p>
        </w:tc>
        <w:tc>
          <w:tcPr>
            <w:tcW w:w="3277" w:type="pct"/>
            <w:vAlign w:val="center"/>
          </w:tcPr>
          <w:p w14:paraId="3802CE06" w14:textId="77777777" w:rsidR="00DF5555" w:rsidRPr="00DF5555" w:rsidRDefault="00DF5555" w:rsidP="00DF5555">
            <w:pPr>
              <w:pStyle w:val="Paragraphedeliste"/>
              <w:numPr>
                <w:ilvl w:val="0"/>
                <w:numId w:val="23"/>
              </w:numPr>
              <w:jc w:val="both"/>
              <w:cnfStyle w:val="000000000000" w:firstRow="0" w:lastRow="0" w:firstColumn="0" w:lastColumn="0" w:oddVBand="0" w:evenVBand="0" w:oddHBand="0" w:evenHBand="0" w:firstRowFirstColumn="0" w:firstRowLastColumn="0" w:lastRowFirstColumn="0" w:lastRowLastColumn="0"/>
              <w:rPr>
                <w:bCs/>
                <w:sz w:val="24"/>
              </w:rPr>
            </w:pPr>
            <w:r w:rsidRPr="00DF5555">
              <w:rPr>
                <w:bCs/>
                <w:color w:val="1B222C"/>
                <w:sz w:val="24"/>
              </w:rPr>
              <w:t>Nutrition</w:t>
            </w:r>
            <w:r w:rsidRPr="00DF5555">
              <w:rPr>
                <w:bCs/>
                <w:color w:val="1B222C"/>
                <w:spacing w:val="-3"/>
                <w:sz w:val="24"/>
              </w:rPr>
              <w:t xml:space="preserve"> </w:t>
            </w:r>
            <w:r w:rsidRPr="00DF5555">
              <w:rPr>
                <w:bCs/>
                <w:color w:val="1B222C"/>
                <w:spacing w:val="-10"/>
                <w:sz w:val="24"/>
              </w:rPr>
              <w:t>:</w:t>
            </w:r>
          </w:p>
          <w:p w14:paraId="48354BF2" w14:textId="434A8172" w:rsidR="00DF5555" w:rsidRPr="00DF5555" w:rsidRDefault="00DF5555" w:rsidP="00DF5555">
            <w:pPr>
              <w:pStyle w:val="Corpsdetexte"/>
              <w:numPr>
                <w:ilvl w:val="0"/>
                <w:numId w:val="23"/>
              </w:numPr>
              <w:jc w:val="both"/>
              <w:cnfStyle w:val="000000000000" w:firstRow="0" w:lastRow="0" w:firstColumn="0" w:lastColumn="0" w:oddVBand="0" w:evenVBand="0" w:oddHBand="0" w:evenHBand="0" w:firstRowFirstColumn="0" w:firstRowLastColumn="0" w:lastRowFirstColumn="0" w:lastRowLastColumn="0"/>
              <w:rPr>
                <w:bCs/>
              </w:rPr>
            </w:pPr>
            <w:r w:rsidRPr="00DF5555">
              <w:rPr>
                <w:bCs/>
                <w:color w:val="1B222C"/>
              </w:rPr>
              <w:t>Mortalité</w:t>
            </w:r>
          </w:p>
          <w:p w14:paraId="3FAF64D8" w14:textId="0CBA284D" w:rsidR="00DF5555" w:rsidRPr="00DF5555" w:rsidRDefault="00DF5555" w:rsidP="00DF5555">
            <w:pPr>
              <w:pStyle w:val="Corpsdetexte"/>
              <w:numPr>
                <w:ilvl w:val="0"/>
                <w:numId w:val="23"/>
              </w:numPr>
              <w:spacing w:line="276" w:lineRule="auto"/>
              <w:ind w:right="301"/>
              <w:jc w:val="both"/>
              <w:cnfStyle w:val="000000000000" w:firstRow="0" w:lastRow="0" w:firstColumn="0" w:lastColumn="0" w:oddVBand="0" w:evenVBand="0" w:oddHBand="0" w:evenHBand="0" w:firstRowFirstColumn="0" w:firstRowLastColumn="0" w:lastRowFirstColumn="0" w:lastRowLastColumn="0"/>
              <w:rPr>
                <w:bCs/>
              </w:rPr>
            </w:pPr>
            <w:r w:rsidRPr="00DF5555">
              <w:rPr>
                <w:bCs/>
                <w:color w:val="1B222C"/>
              </w:rPr>
              <w:t>Pratiques d’Alimentation du Nourrisson et du Jeune Enfant (ANJE, 0-23 mois)</w:t>
            </w:r>
          </w:p>
          <w:p w14:paraId="3224C9A7" w14:textId="77777777" w:rsidR="00DF5555" w:rsidRPr="00DF5555" w:rsidRDefault="00DF5555" w:rsidP="00DF5555">
            <w:pPr>
              <w:pStyle w:val="Corpsdetexte"/>
              <w:numPr>
                <w:ilvl w:val="0"/>
                <w:numId w:val="23"/>
              </w:numPr>
              <w:spacing w:line="273" w:lineRule="auto"/>
              <w:ind w:right="301"/>
              <w:jc w:val="both"/>
              <w:cnfStyle w:val="000000000000" w:firstRow="0" w:lastRow="0" w:firstColumn="0" w:lastColumn="0" w:oddVBand="0" w:evenVBand="0" w:oddHBand="0" w:evenHBand="0" w:firstRowFirstColumn="0" w:firstRowLastColumn="0" w:lastRowFirstColumn="0" w:lastRowLastColumn="0"/>
              <w:rPr>
                <w:bCs/>
                <w:color w:val="1B222C"/>
              </w:rPr>
            </w:pPr>
            <w:r w:rsidRPr="00DF5555">
              <w:rPr>
                <w:bCs/>
                <w:color w:val="1B222C"/>
              </w:rPr>
              <w:t>Santé</w:t>
            </w:r>
            <w:r w:rsidRPr="00DF5555">
              <w:rPr>
                <w:bCs/>
                <w:color w:val="1B222C"/>
                <w:spacing w:val="-1"/>
              </w:rPr>
              <w:t xml:space="preserve"> </w:t>
            </w:r>
          </w:p>
          <w:p w14:paraId="0697DA75" w14:textId="133751A1" w:rsidR="00245BB8" w:rsidRPr="00DF5555" w:rsidRDefault="00DF5555" w:rsidP="00DF5555">
            <w:pPr>
              <w:pStyle w:val="Corpsdetexte"/>
              <w:numPr>
                <w:ilvl w:val="0"/>
                <w:numId w:val="23"/>
              </w:numPr>
              <w:spacing w:line="273" w:lineRule="auto"/>
              <w:ind w:right="301"/>
              <w:jc w:val="both"/>
              <w:cnfStyle w:val="000000000000" w:firstRow="0" w:lastRow="0" w:firstColumn="0" w:lastColumn="0" w:oddVBand="0" w:evenVBand="0" w:oddHBand="0" w:evenHBand="0" w:firstRowFirstColumn="0" w:firstRowLastColumn="0" w:lastRowFirstColumn="0" w:lastRowLastColumn="0"/>
            </w:pPr>
            <w:r w:rsidRPr="00DF5555">
              <w:rPr>
                <w:bCs/>
                <w:color w:val="1B222C"/>
              </w:rPr>
              <w:t>Couverture</w:t>
            </w:r>
            <w:r w:rsidRPr="00DF5555">
              <w:rPr>
                <w:bCs/>
                <w:color w:val="1B222C"/>
                <w:spacing w:val="-10"/>
              </w:rPr>
              <w:t xml:space="preserve"> </w:t>
            </w:r>
            <w:r w:rsidRPr="00DF5555">
              <w:rPr>
                <w:bCs/>
                <w:color w:val="1B222C"/>
              </w:rPr>
              <w:t>des</w:t>
            </w:r>
            <w:r w:rsidRPr="00DF5555">
              <w:rPr>
                <w:bCs/>
                <w:color w:val="1B222C"/>
                <w:spacing w:val="-10"/>
              </w:rPr>
              <w:t xml:space="preserve"> </w:t>
            </w:r>
            <w:r w:rsidRPr="00DF5555">
              <w:rPr>
                <w:bCs/>
                <w:color w:val="1B222C"/>
              </w:rPr>
              <w:t>services</w:t>
            </w:r>
          </w:p>
        </w:tc>
      </w:tr>
      <w:tr w:rsidR="00245BB8" w:rsidRPr="000D614F" w14:paraId="05881DFE" w14:textId="77777777" w:rsidTr="00794B68">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75C7A10" w14:textId="28334903" w:rsidR="00245BB8" w:rsidRPr="000D614F" w:rsidRDefault="00840348" w:rsidP="00245BB8">
            <w:pPr>
              <w:rPr>
                <w:b w:val="0"/>
                <w:sz w:val="24"/>
                <w:szCs w:val="24"/>
              </w:rPr>
            </w:pPr>
            <w:r>
              <w:rPr>
                <w:b w:val="0"/>
                <w:sz w:val="24"/>
                <w:szCs w:val="24"/>
              </w:rPr>
              <w:t>P</w:t>
            </w:r>
          </w:p>
        </w:tc>
        <w:tc>
          <w:tcPr>
            <w:tcW w:w="1487" w:type="pct"/>
            <w:vAlign w:val="center"/>
          </w:tcPr>
          <w:p w14:paraId="71C3897B" w14:textId="2E314BE6" w:rsidR="00245BB8" w:rsidRPr="000D614F" w:rsidRDefault="00245BB8" w:rsidP="00245BB8">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Niveau de désagrégation géographique et thématique</w:t>
            </w:r>
          </w:p>
        </w:tc>
        <w:tc>
          <w:tcPr>
            <w:tcW w:w="3277" w:type="pct"/>
            <w:vAlign w:val="center"/>
          </w:tcPr>
          <w:p w14:paraId="757E336F" w14:textId="775B559E" w:rsidR="00245BB8" w:rsidRPr="000D614F" w:rsidRDefault="00794B68" w:rsidP="0084034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Région, Milieu de résidence</w:t>
            </w:r>
          </w:p>
        </w:tc>
      </w:tr>
      <w:tr w:rsidR="00245BB8" w:rsidRPr="000D614F" w14:paraId="1BD021E5" w14:textId="77777777" w:rsidTr="00794B68">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25D137EB" w14:textId="6C98335A" w:rsidR="00245BB8" w:rsidRPr="000D614F" w:rsidRDefault="00245BB8" w:rsidP="00245BB8">
            <w:pPr>
              <w:rPr>
                <w:sz w:val="24"/>
                <w:szCs w:val="24"/>
              </w:rPr>
            </w:pPr>
            <w:r w:rsidRPr="000D614F">
              <w:rPr>
                <w:b w:val="0"/>
                <w:sz w:val="24"/>
                <w:szCs w:val="24"/>
              </w:rPr>
              <w:t>10</w:t>
            </w:r>
          </w:p>
        </w:tc>
        <w:tc>
          <w:tcPr>
            <w:tcW w:w="1487" w:type="pct"/>
            <w:vAlign w:val="center"/>
          </w:tcPr>
          <w:p w14:paraId="665B00D2" w14:textId="2EEB6A63"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Résultats clés et Modalités d’accès</w:t>
            </w:r>
          </w:p>
        </w:tc>
        <w:tc>
          <w:tcPr>
            <w:tcW w:w="3277" w:type="pct"/>
            <w:vAlign w:val="center"/>
          </w:tcPr>
          <w:p w14:paraId="7BE52C16" w14:textId="77777777" w:rsidR="00FD1BC1" w:rsidRDefault="00FD1BC1" w:rsidP="00245BB8">
            <w:pPr>
              <w:jc w:val="both"/>
              <w:cnfStyle w:val="000000000000" w:firstRow="0" w:lastRow="0" w:firstColumn="0" w:lastColumn="0" w:oddVBand="0" w:evenVBand="0" w:oddHBand="0" w:evenHBand="0" w:firstRowFirstColumn="0" w:firstRowLastColumn="0" w:lastRowFirstColumn="0" w:lastRowLastColumn="0"/>
              <w:rPr>
                <w:b/>
              </w:rPr>
            </w:pPr>
          </w:p>
          <w:p w14:paraId="45C953AB" w14:textId="77777777" w:rsidR="00A400BA" w:rsidRPr="00A400BA" w:rsidRDefault="00A400BA" w:rsidP="00A400BA">
            <w:pPr>
              <w:pStyle w:val="Paragraphedeliste"/>
              <w:numPr>
                <w:ilvl w:val="0"/>
                <w:numId w:val="21"/>
              </w:numPr>
              <w:ind w:left="34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A400BA">
              <w:rPr>
                <w:rFonts w:ascii="Calibri" w:eastAsia="Times New Roman" w:hAnsi="Calibri" w:cs="Calibri"/>
                <w:color w:val="000000"/>
                <w:lang w:eastAsia="fr-FR"/>
              </w:rPr>
              <w:t>Pourcentage d’enfants de 6 à 23 mois ayant reçu au moins 5 groupes d’aliments dans les dernières 24 heures (MDD) : 26,5 %</w:t>
            </w:r>
          </w:p>
          <w:p w14:paraId="579BA30F" w14:textId="77777777" w:rsidR="00A400BA" w:rsidRPr="00A400BA" w:rsidRDefault="00A400BA" w:rsidP="00A400BA">
            <w:pPr>
              <w:pStyle w:val="Paragraphedeliste"/>
              <w:numPr>
                <w:ilvl w:val="0"/>
                <w:numId w:val="21"/>
              </w:numPr>
              <w:ind w:left="34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A400BA">
              <w:rPr>
                <w:rFonts w:ascii="Calibri" w:eastAsia="Times New Roman" w:hAnsi="Calibri" w:cs="Calibri"/>
                <w:color w:val="000000"/>
                <w:lang w:eastAsia="fr-FR"/>
              </w:rPr>
              <w:t>Pourcentage de l’ensemble d’enfants de 6 à 23 mois ayant reçu un Régime alimentaire minimum acceptable (MAD) : 19,5 %</w:t>
            </w:r>
          </w:p>
          <w:p w14:paraId="08CB4B6C" w14:textId="77777777" w:rsidR="00A400BA" w:rsidRPr="00A400BA" w:rsidRDefault="00A400BA" w:rsidP="00A400BA">
            <w:pPr>
              <w:pStyle w:val="Paragraphedeliste"/>
              <w:numPr>
                <w:ilvl w:val="0"/>
                <w:numId w:val="21"/>
              </w:numPr>
              <w:ind w:left="34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A400BA">
              <w:rPr>
                <w:rFonts w:ascii="Calibri" w:eastAsia="Times New Roman" w:hAnsi="Calibri" w:cs="Calibri"/>
                <w:color w:val="000000"/>
                <w:lang w:eastAsia="fr-FR"/>
              </w:rPr>
              <w:t>Prévalence de la malnutrition aiguë des femmes âgées de 15 à 49 ans basée sur le PB (PB &lt; 230 mm) : 0,06 %</w:t>
            </w:r>
          </w:p>
          <w:p w14:paraId="7A1920F5" w14:textId="77777777" w:rsidR="00A400BA" w:rsidRPr="00A400BA" w:rsidRDefault="00A400BA" w:rsidP="00A400BA">
            <w:pPr>
              <w:pStyle w:val="Paragraphedeliste"/>
              <w:numPr>
                <w:ilvl w:val="0"/>
                <w:numId w:val="21"/>
              </w:numPr>
              <w:ind w:left="34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A400BA">
              <w:rPr>
                <w:rFonts w:ascii="Calibri" w:eastAsia="Times New Roman" w:hAnsi="Calibri" w:cs="Calibri"/>
                <w:color w:val="000000"/>
                <w:lang w:eastAsia="fr-FR"/>
              </w:rPr>
              <w:lastRenderedPageBreak/>
              <w:t>Prévalence de la malnutrition aiguë chez les femmes enceintes âgées de 15 à 49 ans basée sur le PB (PB &lt; 230 mm) : 4,84 %</w:t>
            </w:r>
          </w:p>
          <w:p w14:paraId="31125615" w14:textId="77777777" w:rsidR="00A400BA" w:rsidRPr="00A400BA" w:rsidRDefault="00A400BA" w:rsidP="00A400BA">
            <w:pPr>
              <w:pStyle w:val="Paragraphedeliste"/>
              <w:numPr>
                <w:ilvl w:val="0"/>
                <w:numId w:val="21"/>
              </w:numPr>
              <w:ind w:left="34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A400BA">
              <w:rPr>
                <w:rFonts w:ascii="Calibri" w:eastAsia="Times New Roman" w:hAnsi="Calibri" w:cs="Calibri"/>
                <w:color w:val="000000"/>
                <w:lang w:eastAsia="fr-FR"/>
              </w:rPr>
              <w:t>Prévalence de la maigreur (IMC &lt; 18,5) chez les femmes non enceintes âgées de 15 à 49 ans : 5,2 %</w:t>
            </w:r>
          </w:p>
          <w:p w14:paraId="277D3FDE" w14:textId="77777777" w:rsidR="00A400BA" w:rsidRPr="00A400BA" w:rsidRDefault="00A400BA" w:rsidP="00A400BA">
            <w:pPr>
              <w:pStyle w:val="Paragraphedeliste"/>
              <w:numPr>
                <w:ilvl w:val="0"/>
                <w:numId w:val="21"/>
              </w:numPr>
              <w:ind w:left="34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A400BA">
              <w:rPr>
                <w:rFonts w:ascii="Calibri" w:eastAsia="Times New Roman" w:hAnsi="Calibri" w:cs="Calibri"/>
                <w:color w:val="000000"/>
                <w:lang w:eastAsia="fr-FR"/>
              </w:rPr>
              <w:t>Prévalence des femmes non enceintes âgées de 15 à 49 ans en Surpoids/Obésité (IMC ≥ 25) : 22,2 %</w:t>
            </w:r>
          </w:p>
          <w:p w14:paraId="0B07F221" w14:textId="77777777" w:rsidR="00A400BA" w:rsidRPr="00A400BA" w:rsidRDefault="00A400BA" w:rsidP="00A400BA">
            <w:pPr>
              <w:pStyle w:val="Paragraphedeliste"/>
              <w:numPr>
                <w:ilvl w:val="0"/>
                <w:numId w:val="21"/>
              </w:numPr>
              <w:ind w:left="34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A400BA">
              <w:rPr>
                <w:rFonts w:ascii="Calibri" w:eastAsia="Times New Roman" w:hAnsi="Calibri" w:cs="Calibri"/>
                <w:color w:val="000000"/>
                <w:lang w:eastAsia="fr-FR"/>
              </w:rPr>
              <w:t>Prévalence de l‘insuffisance pondérale chez les adolescents (IMCZ &lt; -2ET) : 10,3 %</w:t>
            </w:r>
          </w:p>
          <w:p w14:paraId="6FF20925" w14:textId="11E9F358" w:rsidR="00DF3E42" w:rsidRPr="00A400BA" w:rsidRDefault="00A400BA" w:rsidP="00A400BA">
            <w:pPr>
              <w:pStyle w:val="Paragraphedeliste"/>
              <w:numPr>
                <w:ilvl w:val="0"/>
                <w:numId w:val="21"/>
              </w:numPr>
              <w:ind w:left="34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A400BA">
              <w:rPr>
                <w:rFonts w:ascii="Calibri" w:eastAsia="Times New Roman" w:hAnsi="Calibri" w:cs="Calibri"/>
                <w:color w:val="000000"/>
                <w:lang w:eastAsia="fr-FR"/>
              </w:rPr>
              <w:t>Prévalence de la surnutrition (surpoids ou obésité) chez les adolescents (IMCZ ˃ 1ET) : 6,9 %</w:t>
            </w:r>
          </w:p>
          <w:p w14:paraId="4C3B58F2" w14:textId="237574AD" w:rsidR="00245BB8" w:rsidRPr="000D614F" w:rsidRDefault="00797EA0" w:rsidP="00797EA0">
            <w:pPr>
              <w:jc w:val="both"/>
              <w:cnfStyle w:val="000000000000" w:firstRow="0" w:lastRow="0" w:firstColumn="0" w:lastColumn="0" w:oddVBand="0" w:evenVBand="0" w:oddHBand="0" w:evenHBand="0" w:firstRowFirstColumn="0" w:firstRowLastColumn="0" w:lastRowFirstColumn="0" w:lastRowLastColumn="0"/>
              <w:rPr>
                <w:sz w:val="24"/>
                <w:szCs w:val="24"/>
              </w:rPr>
            </w:pPr>
            <w:r>
              <w:t xml:space="preserve">Rapport sur le site </w:t>
            </w:r>
            <w:hyperlink r:id="rId5" w:history="1">
              <w:r w:rsidR="00245BB8" w:rsidRPr="000D614F">
                <w:rPr>
                  <w:rStyle w:val="Lienhypertexte"/>
                  <w:sz w:val="24"/>
                  <w:szCs w:val="24"/>
                  <w:u w:val="none"/>
                </w:rPr>
                <w:t>www.instat-mali.org</w:t>
              </w:r>
            </w:hyperlink>
            <w:r w:rsidR="00FD43B7">
              <w:rPr>
                <w:rStyle w:val="Lienhypertexte"/>
                <w:sz w:val="24"/>
                <w:szCs w:val="24"/>
                <w:u w:val="none"/>
              </w:rPr>
              <w:t>/fr/publications</w:t>
            </w:r>
            <w:r>
              <w:rPr>
                <w:sz w:val="24"/>
                <w:szCs w:val="24"/>
              </w:rPr>
              <w:t xml:space="preserve"> ou </w:t>
            </w:r>
            <w:r w:rsidR="00245BB8" w:rsidRPr="000D614F">
              <w:rPr>
                <w:sz w:val="24"/>
                <w:szCs w:val="24"/>
              </w:rPr>
              <w:t>demande physique ou électronique à adresser au DG de l’INSTAT.</w:t>
            </w:r>
          </w:p>
        </w:tc>
      </w:tr>
      <w:tr w:rsidR="00245BB8" w:rsidRPr="000D614F" w14:paraId="101E485E" w14:textId="77777777" w:rsidTr="00794B68">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51F345B5" w14:textId="0BF3B334" w:rsidR="00245BB8" w:rsidRPr="000D614F" w:rsidRDefault="00245BB8" w:rsidP="00245BB8">
            <w:pPr>
              <w:rPr>
                <w:b w:val="0"/>
                <w:color w:val="FF0000"/>
                <w:sz w:val="24"/>
                <w:szCs w:val="24"/>
              </w:rPr>
            </w:pPr>
            <w:r w:rsidRPr="000D614F">
              <w:rPr>
                <w:b w:val="0"/>
                <w:sz w:val="24"/>
                <w:szCs w:val="24"/>
              </w:rPr>
              <w:lastRenderedPageBreak/>
              <w:t>11</w:t>
            </w:r>
          </w:p>
        </w:tc>
        <w:tc>
          <w:tcPr>
            <w:tcW w:w="1487" w:type="pct"/>
            <w:vAlign w:val="center"/>
          </w:tcPr>
          <w:p w14:paraId="7CC5FF93" w14:textId="7E66B304"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 xml:space="preserve"> Nature du Support</w:t>
            </w:r>
          </w:p>
        </w:tc>
        <w:tc>
          <w:tcPr>
            <w:tcW w:w="3277" w:type="pct"/>
            <w:vAlign w:val="center"/>
          </w:tcPr>
          <w:p w14:paraId="52EAADE7" w14:textId="7DF669DB" w:rsidR="00245BB8" w:rsidRPr="000D614F" w:rsidRDefault="00245BB8" w:rsidP="00797EA0">
            <w:pPr>
              <w:jc w:val="both"/>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Ve</w:t>
            </w:r>
            <w:r w:rsidR="00797EA0">
              <w:rPr>
                <w:sz w:val="24"/>
                <w:szCs w:val="24"/>
              </w:rPr>
              <w:t>rsion numérique (format SPSS, STATA, PDF) et papier</w:t>
            </w:r>
          </w:p>
        </w:tc>
      </w:tr>
      <w:tr w:rsidR="00245BB8" w:rsidRPr="000D614F" w14:paraId="3E76F1A0" w14:textId="77777777" w:rsidTr="00794B68">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4CB02A1" w14:textId="5A03B32F" w:rsidR="00245BB8" w:rsidRPr="000D614F" w:rsidRDefault="00245BB8" w:rsidP="00245BB8">
            <w:pPr>
              <w:rPr>
                <w:b w:val="0"/>
                <w:sz w:val="24"/>
                <w:szCs w:val="24"/>
              </w:rPr>
            </w:pPr>
            <w:r w:rsidRPr="000D614F">
              <w:rPr>
                <w:b w:val="0"/>
                <w:sz w:val="24"/>
                <w:szCs w:val="24"/>
              </w:rPr>
              <w:t>12</w:t>
            </w:r>
          </w:p>
        </w:tc>
        <w:tc>
          <w:tcPr>
            <w:tcW w:w="1487" w:type="pct"/>
            <w:vAlign w:val="center"/>
          </w:tcPr>
          <w:p w14:paraId="2B30DB71" w14:textId="421AB0D2"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Difficultés rencontrées</w:t>
            </w:r>
          </w:p>
        </w:tc>
        <w:tc>
          <w:tcPr>
            <w:tcW w:w="3277" w:type="pct"/>
            <w:vAlign w:val="center"/>
          </w:tcPr>
          <w:p w14:paraId="0C5F48C2" w14:textId="41DF895E" w:rsidR="00245BB8" w:rsidRPr="000D614F" w:rsidRDefault="00797EA0"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L’insécurité qui rend difficile l’accès à certaines</w:t>
            </w:r>
            <w:r w:rsidR="00FD43B7">
              <w:rPr>
                <w:sz w:val="24"/>
                <w:szCs w:val="24"/>
              </w:rPr>
              <w:t xml:space="preserve"> zones de collecte des données et </w:t>
            </w:r>
            <w:r>
              <w:rPr>
                <w:sz w:val="24"/>
                <w:szCs w:val="24"/>
              </w:rPr>
              <w:t>le coût élevé de l’opération</w:t>
            </w:r>
          </w:p>
        </w:tc>
      </w:tr>
      <w:tr w:rsidR="00245BB8" w:rsidRPr="000D614F" w14:paraId="5678B7B9" w14:textId="77777777" w:rsidTr="00794B6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42054F9" w14:textId="5E807171" w:rsidR="00245BB8" w:rsidRPr="000D614F" w:rsidRDefault="00245BB8" w:rsidP="00245BB8">
            <w:pPr>
              <w:rPr>
                <w:b w:val="0"/>
                <w:sz w:val="24"/>
                <w:szCs w:val="24"/>
              </w:rPr>
            </w:pPr>
            <w:r w:rsidRPr="000D614F">
              <w:rPr>
                <w:b w:val="0"/>
                <w:sz w:val="24"/>
                <w:szCs w:val="24"/>
              </w:rPr>
              <w:t>13</w:t>
            </w:r>
          </w:p>
        </w:tc>
        <w:tc>
          <w:tcPr>
            <w:tcW w:w="1487" w:type="pct"/>
            <w:vAlign w:val="center"/>
          </w:tcPr>
          <w:p w14:paraId="1768CA19" w14:textId="6ABF7BA8" w:rsidR="00245BB8" w:rsidRPr="000D614F" w:rsidRDefault="00FD43B7" w:rsidP="00245BB8">
            <w:pP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Défis/</w:t>
            </w:r>
            <w:r w:rsidR="00245BB8" w:rsidRPr="000D614F">
              <w:rPr>
                <w:bCs/>
                <w:sz w:val="24"/>
                <w:szCs w:val="24"/>
              </w:rPr>
              <w:t>Perspectives</w:t>
            </w:r>
          </w:p>
        </w:tc>
        <w:tc>
          <w:tcPr>
            <w:tcW w:w="3277" w:type="pct"/>
            <w:vAlign w:val="center"/>
          </w:tcPr>
          <w:p w14:paraId="2A1DDB74" w14:textId="4AD31DC4" w:rsidR="00245BB8" w:rsidRPr="000D614F" w:rsidRDefault="00FD43B7" w:rsidP="00245BB8">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Valorisation des données de cette enquête avec les analyses approfondies. </w:t>
            </w:r>
          </w:p>
        </w:tc>
      </w:tr>
      <w:tr w:rsidR="00245BB8" w:rsidRPr="000D614F" w14:paraId="1004CCCA" w14:textId="77777777" w:rsidTr="00794B68">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02D1217" w14:textId="358082CE" w:rsidR="00245BB8" w:rsidRPr="000D614F" w:rsidRDefault="00245BB8" w:rsidP="00245BB8">
            <w:pPr>
              <w:rPr>
                <w:b w:val="0"/>
                <w:sz w:val="24"/>
                <w:szCs w:val="24"/>
              </w:rPr>
            </w:pPr>
            <w:r w:rsidRPr="000D614F">
              <w:rPr>
                <w:b w:val="0"/>
                <w:sz w:val="24"/>
                <w:szCs w:val="24"/>
              </w:rPr>
              <w:t>14</w:t>
            </w:r>
          </w:p>
        </w:tc>
        <w:tc>
          <w:tcPr>
            <w:tcW w:w="1487" w:type="pct"/>
            <w:vAlign w:val="center"/>
          </w:tcPr>
          <w:p w14:paraId="0C1BED0D" w14:textId="5A8F8AAA"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Recommandations</w:t>
            </w:r>
          </w:p>
        </w:tc>
        <w:tc>
          <w:tcPr>
            <w:tcW w:w="3277" w:type="pct"/>
            <w:vAlign w:val="center"/>
          </w:tcPr>
          <w:p w14:paraId="2661C665" w14:textId="606FC268" w:rsidR="00245BB8" w:rsidRPr="000D614F" w:rsidRDefault="00FD43B7"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Inviter le monde universitaire à utiliser les données de cette enquête dans le cadre de leur recherche. </w:t>
            </w:r>
          </w:p>
        </w:tc>
      </w:tr>
      <w:tr w:rsidR="00245BB8" w:rsidRPr="000D614F" w14:paraId="77FF330D" w14:textId="77777777" w:rsidTr="00794B6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2331086C" w14:textId="53BABC34" w:rsidR="00245BB8" w:rsidRPr="000D614F" w:rsidRDefault="00245BB8" w:rsidP="00245BB8">
            <w:pPr>
              <w:rPr>
                <w:b w:val="0"/>
                <w:sz w:val="24"/>
                <w:szCs w:val="24"/>
              </w:rPr>
            </w:pPr>
            <w:r w:rsidRPr="000D614F">
              <w:rPr>
                <w:b w:val="0"/>
                <w:sz w:val="24"/>
                <w:szCs w:val="24"/>
              </w:rPr>
              <w:t>15</w:t>
            </w:r>
          </w:p>
        </w:tc>
        <w:tc>
          <w:tcPr>
            <w:tcW w:w="1487" w:type="pct"/>
            <w:vAlign w:val="center"/>
          </w:tcPr>
          <w:p w14:paraId="2B1CE310" w14:textId="78D42FA0"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Autres Remarques/observations</w:t>
            </w:r>
          </w:p>
        </w:tc>
        <w:tc>
          <w:tcPr>
            <w:tcW w:w="3277" w:type="pct"/>
            <w:vAlign w:val="center"/>
          </w:tcPr>
          <w:p w14:paraId="3C46823D" w14:textId="0C887BCF" w:rsidR="00245BB8" w:rsidRPr="000D614F" w:rsidRDefault="00245BB8" w:rsidP="00245BB8">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61243" w:rsidRPr="000D614F" w14:paraId="39D10889" w14:textId="77777777" w:rsidTr="00794B68">
        <w:trPr>
          <w:trHeight w:val="45"/>
        </w:trPr>
        <w:tc>
          <w:tcPr>
            <w:cnfStyle w:val="001000000000" w:firstRow="0" w:lastRow="0" w:firstColumn="1" w:lastColumn="0" w:oddVBand="0" w:evenVBand="0" w:oddHBand="0" w:evenHBand="0" w:firstRowFirstColumn="0" w:firstRowLastColumn="0" w:lastRowFirstColumn="0" w:lastRowLastColumn="0"/>
            <w:tcW w:w="235" w:type="pct"/>
            <w:vAlign w:val="center"/>
          </w:tcPr>
          <w:p w14:paraId="53D3EA72" w14:textId="0A5B909D" w:rsidR="00B61243" w:rsidRPr="000D614F" w:rsidRDefault="00B61243" w:rsidP="00B61243">
            <w:pPr>
              <w:rPr>
                <w:b w:val="0"/>
                <w:sz w:val="24"/>
                <w:szCs w:val="24"/>
              </w:rPr>
            </w:pPr>
            <w:r w:rsidRPr="000D614F">
              <w:rPr>
                <w:b w:val="0"/>
                <w:sz w:val="24"/>
                <w:szCs w:val="24"/>
              </w:rPr>
              <w:t>1</w:t>
            </w:r>
            <w:r>
              <w:rPr>
                <w:b w:val="0"/>
                <w:sz w:val="24"/>
                <w:szCs w:val="24"/>
              </w:rPr>
              <w:t>6</w:t>
            </w:r>
          </w:p>
        </w:tc>
        <w:tc>
          <w:tcPr>
            <w:tcW w:w="1487" w:type="pct"/>
            <w:vAlign w:val="center"/>
          </w:tcPr>
          <w:p w14:paraId="03D5EF75" w14:textId="681B2787" w:rsidR="00B61243" w:rsidRPr="000D614F" w:rsidRDefault="00B61243" w:rsidP="00B61243">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Annexes optionnelles pour les bases de données/sites</w:t>
            </w:r>
          </w:p>
        </w:tc>
        <w:tc>
          <w:tcPr>
            <w:tcW w:w="3277" w:type="pct"/>
            <w:vAlign w:val="center"/>
          </w:tcPr>
          <w:p w14:paraId="41501F64" w14:textId="34A10165" w:rsidR="00B61243" w:rsidRPr="000D614F" w:rsidRDefault="00B61243" w:rsidP="00B61243">
            <w:pPr>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7CD5982B" w14:textId="77777777" w:rsidR="00FC3E4E" w:rsidRDefault="00FC3E4E"/>
    <w:sectPr w:rsidR="00FC3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29F"/>
    <w:multiLevelType w:val="hybridMultilevel"/>
    <w:tmpl w:val="5C6E66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A2AD6"/>
    <w:multiLevelType w:val="hybridMultilevel"/>
    <w:tmpl w:val="1F5452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CC3DF9"/>
    <w:multiLevelType w:val="hybridMultilevel"/>
    <w:tmpl w:val="92B23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C1632B"/>
    <w:multiLevelType w:val="hybridMultilevel"/>
    <w:tmpl w:val="88DA8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E10B2C"/>
    <w:multiLevelType w:val="hybridMultilevel"/>
    <w:tmpl w:val="7D5229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26429C"/>
    <w:multiLevelType w:val="hybridMultilevel"/>
    <w:tmpl w:val="4F722718"/>
    <w:lvl w:ilvl="0" w:tplc="39E0977E">
      <w:numFmt w:val="bullet"/>
      <w:lvlText w:val=""/>
      <w:lvlJc w:val="left"/>
      <w:pPr>
        <w:ind w:left="885" w:hanging="360"/>
      </w:pPr>
      <w:rPr>
        <w:rFonts w:ascii="Symbol" w:eastAsia="Symbol" w:hAnsi="Symbol" w:cs="Symbol" w:hint="default"/>
        <w:b w:val="0"/>
        <w:bCs w:val="0"/>
        <w:i w:val="0"/>
        <w:iCs w:val="0"/>
        <w:color w:val="1B222C"/>
        <w:spacing w:val="0"/>
        <w:w w:val="100"/>
        <w:sz w:val="24"/>
        <w:szCs w:val="24"/>
        <w:lang w:val="fr-FR" w:eastAsia="en-US" w:bidi="ar-SA"/>
      </w:rPr>
    </w:lvl>
    <w:lvl w:ilvl="1" w:tplc="4E824572">
      <w:numFmt w:val="bullet"/>
      <w:lvlText w:val="•"/>
      <w:lvlJc w:val="left"/>
      <w:pPr>
        <w:ind w:left="1741" w:hanging="360"/>
      </w:pPr>
      <w:rPr>
        <w:rFonts w:hint="default"/>
        <w:lang w:val="fr-FR" w:eastAsia="en-US" w:bidi="ar-SA"/>
      </w:rPr>
    </w:lvl>
    <w:lvl w:ilvl="2" w:tplc="7A8A86AE">
      <w:numFmt w:val="bullet"/>
      <w:lvlText w:val="•"/>
      <w:lvlJc w:val="left"/>
      <w:pPr>
        <w:ind w:left="2603" w:hanging="360"/>
      </w:pPr>
      <w:rPr>
        <w:rFonts w:hint="default"/>
        <w:lang w:val="fr-FR" w:eastAsia="en-US" w:bidi="ar-SA"/>
      </w:rPr>
    </w:lvl>
    <w:lvl w:ilvl="3" w:tplc="3E84B8C6">
      <w:numFmt w:val="bullet"/>
      <w:lvlText w:val="•"/>
      <w:lvlJc w:val="left"/>
      <w:pPr>
        <w:ind w:left="3465" w:hanging="360"/>
      </w:pPr>
      <w:rPr>
        <w:rFonts w:hint="default"/>
        <w:lang w:val="fr-FR" w:eastAsia="en-US" w:bidi="ar-SA"/>
      </w:rPr>
    </w:lvl>
    <w:lvl w:ilvl="4" w:tplc="3348C9E8">
      <w:numFmt w:val="bullet"/>
      <w:lvlText w:val="•"/>
      <w:lvlJc w:val="left"/>
      <w:pPr>
        <w:ind w:left="4327" w:hanging="360"/>
      </w:pPr>
      <w:rPr>
        <w:rFonts w:hint="default"/>
        <w:lang w:val="fr-FR" w:eastAsia="en-US" w:bidi="ar-SA"/>
      </w:rPr>
    </w:lvl>
    <w:lvl w:ilvl="5" w:tplc="6270CC12">
      <w:numFmt w:val="bullet"/>
      <w:lvlText w:val="•"/>
      <w:lvlJc w:val="left"/>
      <w:pPr>
        <w:ind w:left="5189" w:hanging="360"/>
      </w:pPr>
      <w:rPr>
        <w:rFonts w:hint="default"/>
        <w:lang w:val="fr-FR" w:eastAsia="en-US" w:bidi="ar-SA"/>
      </w:rPr>
    </w:lvl>
    <w:lvl w:ilvl="6" w:tplc="4CB8B61E">
      <w:numFmt w:val="bullet"/>
      <w:lvlText w:val="•"/>
      <w:lvlJc w:val="left"/>
      <w:pPr>
        <w:ind w:left="6051" w:hanging="360"/>
      </w:pPr>
      <w:rPr>
        <w:rFonts w:hint="default"/>
        <w:lang w:val="fr-FR" w:eastAsia="en-US" w:bidi="ar-SA"/>
      </w:rPr>
    </w:lvl>
    <w:lvl w:ilvl="7" w:tplc="16701050">
      <w:numFmt w:val="bullet"/>
      <w:lvlText w:val="•"/>
      <w:lvlJc w:val="left"/>
      <w:pPr>
        <w:ind w:left="6912" w:hanging="360"/>
      </w:pPr>
      <w:rPr>
        <w:rFonts w:hint="default"/>
        <w:lang w:val="fr-FR" w:eastAsia="en-US" w:bidi="ar-SA"/>
      </w:rPr>
    </w:lvl>
    <w:lvl w:ilvl="8" w:tplc="16E257C6">
      <w:numFmt w:val="bullet"/>
      <w:lvlText w:val="•"/>
      <w:lvlJc w:val="left"/>
      <w:pPr>
        <w:ind w:left="7774" w:hanging="360"/>
      </w:pPr>
      <w:rPr>
        <w:rFonts w:hint="default"/>
        <w:lang w:val="fr-FR" w:eastAsia="en-US" w:bidi="ar-SA"/>
      </w:rPr>
    </w:lvl>
  </w:abstractNum>
  <w:abstractNum w:abstractNumId="6" w15:restartNumberingAfterBreak="0">
    <w:nsid w:val="15C446E4"/>
    <w:multiLevelType w:val="hybridMultilevel"/>
    <w:tmpl w:val="B0EAB3A6"/>
    <w:lvl w:ilvl="0" w:tplc="6784D0F2">
      <w:start w:val="1"/>
      <w:numFmt w:val="bullet"/>
      <w:lvlText w:val=""/>
      <w:lvlJc w:val="left"/>
      <w:pPr>
        <w:tabs>
          <w:tab w:val="num" w:pos="720"/>
        </w:tabs>
        <w:ind w:left="720" w:hanging="360"/>
      </w:pPr>
      <w:rPr>
        <w:rFonts w:ascii="Wingdings" w:hAnsi="Wingdings" w:hint="default"/>
      </w:rPr>
    </w:lvl>
    <w:lvl w:ilvl="1" w:tplc="8576735A" w:tentative="1">
      <w:start w:val="1"/>
      <w:numFmt w:val="bullet"/>
      <w:lvlText w:val=""/>
      <w:lvlJc w:val="left"/>
      <w:pPr>
        <w:tabs>
          <w:tab w:val="num" w:pos="1440"/>
        </w:tabs>
        <w:ind w:left="1440" w:hanging="360"/>
      </w:pPr>
      <w:rPr>
        <w:rFonts w:ascii="Wingdings" w:hAnsi="Wingdings" w:hint="default"/>
      </w:rPr>
    </w:lvl>
    <w:lvl w:ilvl="2" w:tplc="AC0A9854">
      <w:start w:val="1"/>
      <w:numFmt w:val="bullet"/>
      <w:lvlText w:val=""/>
      <w:lvlJc w:val="left"/>
      <w:pPr>
        <w:tabs>
          <w:tab w:val="num" w:pos="2160"/>
        </w:tabs>
        <w:ind w:left="2160" w:hanging="360"/>
      </w:pPr>
      <w:rPr>
        <w:rFonts w:ascii="Wingdings" w:hAnsi="Wingdings" w:hint="default"/>
      </w:rPr>
    </w:lvl>
    <w:lvl w:ilvl="3" w:tplc="557A9ABE">
      <w:start w:val="1"/>
      <w:numFmt w:val="decimal"/>
      <w:lvlText w:val="%4."/>
      <w:lvlJc w:val="left"/>
      <w:pPr>
        <w:tabs>
          <w:tab w:val="num" w:pos="2880"/>
        </w:tabs>
        <w:ind w:left="2880" w:hanging="360"/>
      </w:pPr>
    </w:lvl>
    <w:lvl w:ilvl="4" w:tplc="1C02F144" w:tentative="1">
      <w:start w:val="1"/>
      <w:numFmt w:val="bullet"/>
      <w:lvlText w:val=""/>
      <w:lvlJc w:val="left"/>
      <w:pPr>
        <w:tabs>
          <w:tab w:val="num" w:pos="3600"/>
        </w:tabs>
        <w:ind w:left="3600" w:hanging="360"/>
      </w:pPr>
      <w:rPr>
        <w:rFonts w:ascii="Wingdings" w:hAnsi="Wingdings" w:hint="default"/>
      </w:rPr>
    </w:lvl>
    <w:lvl w:ilvl="5" w:tplc="4558D064" w:tentative="1">
      <w:start w:val="1"/>
      <w:numFmt w:val="bullet"/>
      <w:lvlText w:val=""/>
      <w:lvlJc w:val="left"/>
      <w:pPr>
        <w:tabs>
          <w:tab w:val="num" w:pos="4320"/>
        </w:tabs>
        <w:ind w:left="4320" w:hanging="360"/>
      </w:pPr>
      <w:rPr>
        <w:rFonts w:ascii="Wingdings" w:hAnsi="Wingdings" w:hint="default"/>
      </w:rPr>
    </w:lvl>
    <w:lvl w:ilvl="6" w:tplc="238071E2" w:tentative="1">
      <w:start w:val="1"/>
      <w:numFmt w:val="bullet"/>
      <w:lvlText w:val=""/>
      <w:lvlJc w:val="left"/>
      <w:pPr>
        <w:tabs>
          <w:tab w:val="num" w:pos="5040"/>
        </w:tabs>
        <w:ind w:left="5040" w:hanging="360"/>
      </w:pPr>
      <w:rPr>
        <w:rFonts w:ascii="Wingdings" w:hAnsi="Wingdings" w:hint="default"/>
      </w:rPr>
    </w:lvl>
    <w:lvl w:ilvl="7" w:tplc="5EF68C6A" w:tentative="1">
      <w:start w:val="1"/>
      <w:numFmt w:val="bullet"/>
      <w:lvlText w:val=""/>
      <w:lvlJc w:val="left"/>
      <w:pPr>
        <w:tabs>
          <w:tab w:val="num" w:pos="5760"/>
        </w:tabs>
        <w:ind w:left="5760" w:hanging="360"/>
      </w:pPr>
      <w:rPr>
        <w:rFonts w:ascii="Wingdings" w:hAnsi="Wingdings" w:hint="default"/>
      </w:rPr>
    </w:lvl>
    <w:lvl w:ilvl="8" w:tplc="4B36EE5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F57B7"/>
    <w:multiLevelType w:val="hybridMultilevel"/>
    <w:tmpl w:val="9E80FA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091C8A"/>
    <w:multiLevelType w:val="hybridMultilevel"/>
    <w:tmpl w:val="2AEAAF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170DD3"/>
    <w:multiLevelType w:val="hybridMultilevel"/>
    <w:tmpl w:val="FC54A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276E2"/>
    <w:multiLevelType w:val="hybridMultilevel"/>
    <w:tmpl w:val="006A1E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60199A"/>
    <w:multiLevelType w:val="hybridMultilevel"/>
    <w:tmpl w:val="C5DAB3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1512A7"/>
    <w:multiLevelType w:val="hybridMultilevel"/>
    <w:tmpl w:val="D0C838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A10962"/>
    <w:multiLevelType w:val="hybridMultilevel"/>
    <w:tmpl w:val="34425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DC4B94"/>
    <w:multiLevelType w:val="hybridMultilevel"/>
    <w:tmpl w:val="642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7B6144"/>
    <w:multiLevelType w:val="hybridMultilevel"/>
    <w:tmpl w:val="55A8819C"/>
    <w:lvl w:ilvl="0" w:tplc="B6B85068">
      <w:start w:val="1"/>
      <w:numFmt w:val="bullet"/>
      <w:lvlText w:val=""/>
      <w:lvlJc w:val="left"/>
      <w:pPr>
        <w:tabs>
          <w:tab w:val="num" w:pos="720"/>
        </w:tabs>
        <w:ind w:left="720" w:hanging="360"/>
      </w:pPr>
      <w:rPr>
        <w:rFonts w:ascii="Wingdings" w:hAnsi="Wingdings" w:hint="default"/>
      </w:rPr>
    </w:lvl>
    <w:lvl w:ilvl="1" w:tplc="FD5EAA24" w:tentative="1">
      <w:start w:val="1"/>
      <w:numFmt w:val="bullet"/>
      <w:lvlText w:val=""/>
      <w:lvlJc w:val="left"/>
      <w:pPr>
        <w:tabs>
          <w:tab w:val="num" w:pos="1440"/>
        </w:tabs>
        <w:ind w:left="1440" w:hanging="360"/>
      </w:pPr>
      <w:rPr>
        <w:rFonts w:ascii="Wingdings" w:hAnsi="Wingdings" w:hint="default"/>
      </w:rPr>
    </w:lvl>
    <w:lvl w:ilvl="2" w:tplc="C6124C8A" w:tentative="1">
      <w:start w:val="1"/>
      <w:numFmt w:val="bullet"/>
      <w:lvlText w:val=""/>
      <w:lvlJc w:val="left"/>
      <w:pPr>
        <w:tabs>
          <w:tab w:val="num" w:pos="2160"/>
        </w:tabs>
        <w:ind w:left="2160" w:hanging="360"/>
      </w:pPr>
      <w:rPr>
        <w:rFonts w:ascii="Wingdings" w:hAnsi="Wingdings" w:hint="default"/>
      </w:rPr>
    </w:lvl>
    <w:lvl w:ilvl="3" w:tplc="DFEE5D86" w:tentative="1">
      <w:start w:val="1"/>
      <w:numFmt w:val="bullet"/>
      <w:lvlText w:val=""/>
      <w:lvlJc w:val="left"/>
      <w:pPr>
        <w:tabs>
          <w:tab w:val="num" w:pos="2880"/>
        </w:tabs>
        <w:ind w:left="2880" w:hanging="360"/>
      </w:pPr>
      <w:rPr>
        <w:rFonts w:ascii="Wingdings" w:hAnsi="Wingdings" w:hint="default"/>
      </w:rPr>
    </w:lvl>
    <w:lvl w:ilvl="4" w:tplc="32AC3C12" w:tentative="1">
      <w:start w:val="1"/>
      <w:numFmt w:val="bullet"/>
      <w:lvlText w:val=""/>
      <w:lvlJc w:val="left"/>
      <w:pPr>
        <w:tabs>
          <w:tab w:val="num" w:pos="3600"/>
        </w:tabs>
        <w:ind w:left="3600" w:hanging="360"/>
      </w:pPr>
      <w:rPr>
        <w:rFonts w:ascii="Wingdings" w:hAnsi="Wingdings" w:hint="default"/>
      </w:rPr>
    </w:lvl>
    <w:lvl w:ilvl="5" w:tplc="DE5E7D42" w:tentative="1">
      <w:start w:val="1"/>
      <w:numFmt w:val="bullet"/>
      <w:lvlText w:val=""/>
      <w:lvlJc w:val="left"/>
      <w:pPr>
        <w:tabs>
          <w:tab w:val="num" w:pos="4320"/>
        </w:tabs>
        <w:ind w:left="4320" w:hanging="360"/>
      </w:pPr>
      <w:rPr>
        <w:rFonts w:ascii="Wingdings" w:hAnsi="Wingdings" w:hint="default"/>
      </w:rPr>
    </w:lvl>
    <w:lvl w:ilvl="6" w:tplc="B860C984" w:tentative="1">
      <w:start w:val="1"/>
      <w:numFmt w:val="bullet"/>
      <w:lvlText w:val=""/>
      <w:lvlJc w:val="left"/>
      <w:pPr>
        <w:tabs>
          <w:tab w:val="num" w:pos="5040"/>
        </w:tabs>
        <w:ind w:left="5040" w:hanging="360"/>
      </w:pPr>
      <w:rPr>
        <w:rFonts w:ascii="Wingdings" w:hAnsi="Wingdings" w:hint="default"/>
      </w:rPr>
    </w:lvl>
    <w:lvl w:ilvl="7" w:tplc="6D0000F0" w:tentative="1">
      <w:start w:val="1"/>
      <w:numFmt w:val="bullet"/>
      <w:lvlText w:val=""/>
      <w:lvlJc w:val="left"/>
      <w:pPr>
        <w:tabs>
          <w:tab w:val="num" w:pos="5760"/>
        </w:tabs>
        <w:ind w:left="5760" w:hanging="360"/>
      </w:pPr>
      <w:rPr>
        <w:rFonts w:ascii="Wingdings" w:hAnsi="Wingdings" w:hint="default"/>
      </w:rPr>
    </w:lvl>
    <w:lvl w:ilvl="8" w:tplc="5520069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505E2A"/>
    <w:multiLevelType w:val="hybridMultilevel"/>
    <w:tmpl w:val="5212D010"/>
    <w:lvl w:ilvl="0" w:tplc="A724B8AA">
      <w:start w:val="1"/>
      <w:numFmt w:val="decimal"/>
      <w:lvlText w:val="%1."/>
      <w:lvlJc w:val="left"/>
      <w:pPr>
        <w:tabs>
          <w:tab w:val="num" w:pos="720"/>
        </w:tabs>
        <w:ind w:left="720" w:hanging="360"/>
      </w:pPr>
    </w:lvl>
    <w:lvl w:ilvl="1" w:tplc="EAB0F094" w:tentative="1">
      <w:start w:val="1"/>
      <w:numFmt w:val="decimal"/>
      <w:lvlText w:val="%2."/>
      <w:lvlJc w:val="left"/>
      <w:pPr>
        <w:tabs>
          <w:tab w:val="num" w:pos="1440"/>
        </w:tabs>
        <w:ind w:left="1440" w:hanging="360"/>
      </w:pPr>
    </w:lvl>
    <w:lvl w:ilvl="2" w:tplc="260879C2" w:tentative="1">
      <w:start w:val="1"/>
      <w:numFmt w:val="decimal"/>
      <w:lvlText w:val="%3."/>
      <w:lvlJc w:val="left"/>
      <w:pPr>
        <w:tabs>
          <w:tab w:val="num" w:pos="2160"/>
        </w:tabs>
        <w:ind w:left="2160" w:hanging="360"/>
      </w:pPr>
    </w:lvl>
    <w:lvl w:ilvl="3" w:tplc="9ACCFC52" w:tentative="1">
      <w:start w:val="1"/>
      <w:numFmt w:val="decimal"/>
      <w:lvlText w:val="%4."/>
      <w:lvlJc w:val="left"/>
      <w:pPr>
        <w:tabs>
          <w:tab w:val="num" w:pos="2880"/>
        </w:tabs>
        <w:ind w:left="2880" w:hanging="360"/>
      </w:pPr>
    </w:lvl>
    <w:lvl w:ilvl="4" w:tplc="792CFF14" w:tentative="1">
      <w:start w:val="1"/>
      <w:numFmt w:val="decimal"/>
      <w:lvlText w:val="%5."/>
      <w:lvlJc w:val="left"/>
      <w:pPr>
        <w:tabs>
          <w:tab w:val="num" w:pos="3600"/>
        </w:tabs>
        <w:ind w:left="3600" w:hanging="360"/>
      </w:pPr>
    </w:lvl>
    <w:lvl w:ilvl="5" w:tplc="58321178" w:tentative="1">
      <w:start w:val="1"/>
      <w:numFmt w:val="decimal"/>
      <w:lvlText w:val="%6."/>
      <w:lvlJc w:val="left"/>
      <w:pPr>
        <w:tabs>
          <w:tab w:val="num" w:pos="4320"/>
        </w:tabs>
        <w:ind w:left="4320" w:hanging="360"/>
      </w:pPr>
    </w:lvl>
    <w:lvl w:ilvl="6" w:tplc="966C21EE" w:tentative="1">
      <w:start w:val="1"/>
      <w:numFmt w:val="decimal"/>
      <w:lvlText w:val="%7."/>
      <w:lvlJc w:val="left"/>
      <w:pPr>
        <w:tabs>
          <w:tab w:val="num" w:pos="5040"/>
        </w:tabs>
        <w:ind w:left="5040" w:hanging="360"/>
      </w:pPr>
    </w:lvl>
    <w:lvl w:ilvl="7" w:tplc="F4F85D52" w:tentative="1">
      <w:start w:val="1"/>
      <w:numFmt w:val="decimal"/>
      <w:lvlText w:val="%8."/>
      <w:lvlJc w:val="left"/>
      <w:pPr>
        <w:tabs>
          <w:tab w:val="num" w:pos="5760"/>
        </w:tabs>
        <w:ind w:left="5760" w:hanging="360"/>
      </w:pPr>
    </w:lvl>
    <w:lvl w:ilvl="8" w:tplc="8E0037CC" w:tentative="1">
      <w:start w:val="1"/>
      <w:numFmt w:val="decimal"/>
      <w:lvlText w:val="%9."/>
      <w:lvlJc w:val="left"/>
      <w:pPr>
        <w:tabs>
          <w:tab w:val="num" w:pos="6480"/>
        </w:tabs>
        <w:ind w:left="6480" w:hanging="360"/>
      </w:pPr>
    </w:lvl>
  </w:abstractNum>
  <w:abstractNum w:abstractNumId="17" w15:restartNumberingAfterBreak="0">
    <w:nsid w:val="62CF62F7"/>
    <w:multiLevelType w:val="hybridMultilevel"/>
    <w:tmpl w:val="F8A8F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343986"/>
    <w:multiLevelType w:val="hybridMultilevel"/>
    <w:tmpl w:val="05A49C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C53E7"/>
    <w:multiLevelType w:val="hybridMultilevel"/>
    <w:tmpl w:val="1FE2935A"/>
    <w:lvl w:ilvl="0" w:tplc="74CC42BA">
      <w:start w:val="1"/>
      <w:numFmt w:val="bullet"/>
      <w:lvlText w:val=""/>
      <w:lvlJc w:val="left"/>
      <w:pPr>
        <w:tabs>
          <w:tab w:val="num" w:pos="720"/>
        </w:tabs>
        <w:ind w:left="720" w:hanging="360"/>
      </w:pPr>
      <w:rPr>
        <w:rFonts w:ascii="Wingdings" w:hAnsi="Wingdings" w:hint="default"/>
      </w:rPr>
    </w:lvl>
    <w:lvl w:ilvl="1" w:tplc="5492F2A6" w:tentative="1">
      <w:start w:val="1"/>
      <w:numFmt w:val="bullet"/>
      <w:lvlText w:val=""/>
      <w:lvlJc w:val="left"/>
      <w:pPr>
        <w:tabs>
          <w:tab w:val="num" w:pos="1440"/>
        </w:tabs>
        <w:ind w:left="1440" w:hanging="360"/>
      </w:pPr>
      <w:rPr>
        <w:rFonts w:ascii="Wingdings" w:hAnsi="Wingdings" w:hint="default"/>
      </w:rPr>
    </w:lvl>
    <w:lvl w:ilvl="2" w:tplc="70EA2D74">
      <w:start w:val="1"/>
      <w:numFmt w:val="bullet"/>
      <w:lvlText w:val=""/>
      <w:lvlJc w:val="left"/>
      <w:pPr>
        <w:tabs>
          <w:tab w:val="num" w:pos="2160"/>
        </w:tabs>
        <w:ind w:left="2160" w:hanging="360"/>
      </w:pPr>
      <w:rPr>
        <w:rFonts w:ascii="Wingdings" w:hAnsi="Wingdings" w:hint="default"/>
      </w:rPr>
    </w:lvl>
    <w:lvl w:ilvl="3" w:tplc="14544E00" w:tentative="1">
      <w:start w:val="1"/>
      <w:numFmt w:val="bullet"/>
      <w:lvlText w:val=""/>
      <w:lvlJc w:val="left"/>
      <w:pPr>
        <w:tabs>
          <w:tab w:val="num" w:pos="2880"/>
        </w:tabs>
        <w:ind w:left="2880" w:hanging="360"/>
      </w:pPr>
      <w:rPr>
        <w:rFonts w:ascii="Wingdings" w:hAnsi="Wingdings" w:hint="default"/>
      </w:rPr>
    </w:lvl>
    <w:lvl w:ilvl="4" w:tplc="ABB4C212" w:tentative="1">
      <w:start w:val="1"/>
      <w:numFmt w:val="bullet"/>
      <w:lvlText w:val=""/>
      <w:lvlJc w:val="left"/>
      <w:pPr>
        <w:tabs>
          <w:tab w:val="num" w:pos="3600"/>
        </w:tabs>
        <w:ind w:left="3600" w:hanging="360"/>
      </w:pPr>
      <w:rPr>
        <w:rFonts w:ascii="Wingdings" w:hAnsi="Wingdings" w:hint="default"/>
      </w:rPr>
    </w:lvl>
    <w:lvl w:ilvl="5" w:tplc="E7DEEB50" w:tentative="1">
      <w:start w:val="1"/>
      <w:numFmt w:val="bullet"/>
      <w:lvlText w:val=""/>
      <w:lvlJc w:val="left"/>
      <w:pPr>
        <w:tabs>
          <w:tab w:val="num" w:pos="4320"/>
        </w:tabs>
        <w:ind w:left="4320" w:hanging="360"/>
      </w:pPr>
      <w:rPr>
        <w:rFonts w:ascii="Wingdings" w:hAnsi="Wingdings" w:hint="default"/>
      </w:rPr>
    </w:lvl>
    <w:lvl w:ilvl="6" w:tplc="F89410F2" w:tentative="1">
      <w:start w:val="1"/>
      <w:numFmt w:val="bullet"/>
      <w:lvlText w:val=""/>
      <w:lvlJc w:val="left"/>
      <w:pPr>
        <w:tabs>
          <w:tab w:val="num" w:pos="5040"/>
        </w:tabs>
        <w:ind w:left="5040" w:hanging="360"/>
      </w:pPr>
      <w:rPr>
        <w:rFonts w:ascii="Wingdings" w:hAnsi="Wingdings" w:hint="default"/>
      </w:rPr>
    </w:lvl>
    <w:lvl w:ilvl="7" w:tplc="91E44B94" w:tentative="1">
      <w:start w:val="1"/>
      <w:numFmt w:val="bullet"/>
      <w:lvlText w:val=""/>
      <w:lvlJc w:val="left"/>
      <w:pPr>
        <w:tabs>
          <w:tab w:val="num" w:pos="5760"/>
        </w:tabs>
        <w:ind w:left="5760" w:hanging="360"/>
      </w:pPr>
      <w:rPr>
        <w:rFonts w:ascii="Wingdings" w:hAnsi="Wingdings" w:hint="default"/>
      </w:rPr>
    </w:lvl>
    <w:lvl w:ilvl="8" w:tplc="E1B225A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237DB"/>
    <w:multiLevelType w:val="hybridMultilevel"/>
    <w:tmpl w:val="27ECD8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38306E"/>
    <w:multiLevelType w:val="hybridMultilevel"/>
    <w:tmpl w:val="7C0441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8C143E"/>
    <w:multiLevelType w:val="hybridMultilevel"/>
    <w:tmpl w:val="2E1A0C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316D74"/>
    <w:multiLevelType w:val="hybridMultilevel"/>
    <w:tmpl w:val="9A8A3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5035407">
    <w:abstractNumId w:val="16"/>
  </w:num>
  <w:num w:numId="2" w16cid:durableId="322004265">
    <w:abstractNumId w:val="19"/>
  </w:num>
  <w:num w:numId="3" w16cid:durableId="1865711269">
    <w:abstractNumId w:val="6"/>
  </w:num>
  <w:num w:numId="4" w16cid:durableId="1331643201">
    <w:abstractNumId w:val="1"/>
  </w:num>
  <w:num w:numId="5" w16cid:durableId="704334392">
    <w:abstractNumId w:val="21"/>
  </w:num>
  <w:num w:numId="6" w16cid:durableId="978531273">
    <w:abstractNumId w:val="15"/>
  </w:num>
  <w:num w:numId="7" w16cid:durableId="1632861585">
    <w:abstractNumId w:val="22"/>
  </w:num>
  <w:num w:numId="8" w16cid:durableId="1389720881">
    <w:abstractNumId w:val="7"/>
  </w:num>
  <w:num w:numId="9" w16cid:durableId="1103918310">
    <w:abstractNumId w:val="18"/>
  </w:num>
  <w:num w:numId="10" w16cid:durableId="120658469">
    <w:abstractNumId w:val="12"/>
  </w:num>
  <w:num w:numId="11" w16cid:durableId="946229125">
    <w:abstractNumId w:val="17"/>
  </w:num>
  <w:num w:numId="12" w16cid:durableId="518156785">
    <w:abstractNumId w:val="4"/>
  </w:num>
  <w:num w:numId="13" w16cid:durableId="1762098231">
    <w:abstractNumId w:val="10"/>
  </w:num>
  <w:num w:numId="14" w16cid:durableId="1192377788">
    <w:abstractNumId w:val="11"/>
  </w:num>
  <w:num w:numId="15" w16cid:durableId="1079404201">
    <w:abstractNumId w:val="23"/>
  </w:num>
  <w:num w:numId="16" w16cid:durableId="1164080199">
    <w:abstractNumId w:val="3"/>
  </w:num>
  <w:num w:numId="17" w16cid:durableId="737704257">
    <w:abstractNumId w:val="14"/>
  </w:num>
  <w:num w:numId="18" w16cid:durableId="1719357130">
    <w:abstractNumId w:val="2"/>
  </w:num>
  <w:num w:numId="19" w16cid:durableId="1514220451">
    <w:abstractNumId w:val="9"/>
  </w:num>
  <w:num w:numId="20" w16cid:durableId="247740963">
    <w:abstractNumId w:val="13"/>
  </w:num>
  <w:num w:numId="21" w16cid:durableId="1288008248">
    <w:abstractNumId w:val="8"/>
  </w:num>
  <w:num w:numId="22" w16cid:durableId="489176369">
    <w:abstractNumId w:val="5"/>
  </w:num>
  <w:num w:numId="23" w16cid:durableId="287858403">
    <w:abstractNumId w:val="20"/>
  </w:num>
  <w:num w:numId="24" w16cid:durableId="1765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4E"/>
    <w:rsid w:val="00034BC1"/>
    <w:rsid w:val="00075F5E"/>
    <w:rsid w:val="000D160F"/>
    <w:rsid w:val="000D614F"/>
    <w:rsid w:val="000F0DAE"/>
    <w:rsid w:val="00122497"/>
    <w:rsid w:val="00186B1C"/>
    <w:rsid w:val="00190FC9"/>
    <w:rsid w:val="001F0D48"/>
    <w:rsid w:val="00240673"/>
    <w:rsid w:val="00245BB8"/>
    <w:rsid w:val="00286609"/>
    <w:rsid w:val="002873F3"/>
    <w:rsid w:val="002A5D16"/>
    <w:rsid w:val="002D0919"/>
    <w:rsid w:val="00310755"/>
    <w:rsid w:val="003465DD"/>
    <w:rsid w:val="003609D4"/>
    <w:rsid w:val="00374E60"/>
    <w:rsid w:val="004202E2"/>
    <w:rsid w:val="004346D2"/>
    <w:rsid w:val="00470CBB"/>
    <w:rsid w:val="004E314E"/>
    <w:rsid w:val="004E4DA0"/>
    <w:rsid w:val="005049A4"/>
    <w:rsid w:val="00506CF6"/>
    <w:rsid w:val="005135E0"/>
    <w:rsid w:val="0052760C"/>
    <w:rsid w:val="00551B0D"/>
    <w:rsid w:val="005576A3"/>
    <w:rsid w:val="005B3C52"/>
    <w:rsid w:val="00615B92"/>
    <w:rsid w:val="00632BF3"/>
    <w:rsid w:val="00675D16"/>
    <w:rsid w:val="00682895"/>
    <w:rsid w:val="006829F9"/>
    <w:rsid w:val="00692CBE"/>
    <w:rsid w:val="006B695F"/>
    <w:rsid w:val="006D5E9B"/>
    <w:rsid w:val="00720167"/>
    <w:rsid w:val="00725C12"/>
    <w:rsid w:val="0075518C"/>
    <w:rsid w:val="00780E60"/>
    <w:rsid w:val="00794B68"/>
    <w:rsid w:val="00797EA0"/>
    <w:rsid w:val="007E5DCF"/>
    <w:rsid w:val="00820482"/>
    <w:rsid w:val="00840348"/>
    <w:rsid w:val="00944EF5"/>
    <w:rsid w:val="009B505A"/>
    <w:rsid w:val="00A33ACD"/>
    <w:rsid w:val="00A400BA"/>
    <w:rsid w:val="00A55B70"/>
    <w:rsid w:val="00A63550"/>
    <w:rsid w:val="00A81A72"/>
    <w:rsid w:val="00A935C5"/>
    <w:rsid w:val="00B61243"/>
    <w:rsid w:val="00B82C3E"/>
    <w:rsid w:val="00BA1F57"/>
    <w:rsid w:val="00C07BB5"/>
    <w:rsid w:val="00C2324D"/>
    <w:rsid w:val="00C42592"/>
    <w:rsid w:val="00C65397"/>
    <w:rsid w:val="00CE117B"/>
    <w:rsid w:val="00CE34EA"/>
    <w:rsid w:val="00D03EE3"/>
    <w:rsid w:val="00D72000"/>
    <w:rsid w:val="00D94D2B"/>
    <w:rsid w:val="00DB0142"/>
    <w:rsid w:val="00DB1C35"/>
    <w:rsid w:val="00DC3600"/>
    <w:rsid w:val="00DE0239"/>
    <w:rsid w:val="00DF3E42"/>
    <w:rsid w:val="00DF5555"/>
    <w:rsid w:val="00DF7333"/>
    <w:rsid w:val="00E04D7C"/>
    <w:rsid w:val="00E72708"/>
    <w:rsid w:val="00E75DAD"/>
    <w:rsid w:val="00EA119B"/>
    <w:rsid w:val="00F21EBA"/>
    <w:rsid w:val="00FB2D76"/>
    <w:rsid w:val="00FC3E4E"/>
    <w:rsid w:val="00FD1BC1"/>
    <w:rsid w:val="00FD43B7"/>
    <w:rsid w:val="00FE5D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3435"/>
  <w15:chartTrackingRefBased/>
  <w15:docId w15:val="{49ADCDF9-A70D-4CF7-BCE9-FEDB7DB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3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C3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C3E4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C3E4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C3E4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C3E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E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E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E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E4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C3E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C3E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C3E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3E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3E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E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E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E4E"/>
    <w:rPr>
      <w:rFonts w:eastAsiaTheme="majorEastAsia" w:cstheme="majorBidi"/>
      <w:color w:val="272727" w:themeColor="text1" w:themeTint="D8"/>
    </w:rPr>
  </w:style>
  <w:style w:type="paragraph" w:styleId="Titre">
    <w:name w:val="Title"/>
    <w:basedOn w:val="Normal"/>
    <w:next w:val="Normal"/>
    <w:link w:val="TitreCar"/>
    <w:uiPriority w:val="10"/>
    <w:qFormat/>
    <w:rsid w:val="00FC3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E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E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E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E4E"/>
    <w:pPr>
      <w:spacing w:before="160"/>
      <w:jc w:val="center"/>
    </w:pPr>
    <w:rPr>
      <w:i/>
      <w:iCs/>
      <w:color w:val="404040" w:themeColor="text1" w:themeTint="BF"/>
    </w:rPr>
  </w:style>
  <w:style w:type="character" w:customStyle="1" w:styleId="CitationCar">
    <w:name w:val="Citation Car"/>
    <w:basedOn w:val="Policepardfaut"/>
    <w:link w:val="Citation"/>
    <w:uiPriority w:val="29"/>
    <w:rsid w:val="00FC3E4E"/>
    <w:rPr>
      <w:i/>
      <w:iCs/>
      <w:color w:val="404040" w:themeColor="text1" w:themeTint="BF"/>
    </w:rPr>
  </w:style>
  <w:style w:type="paragraph" w:styleId="Paragraphedeliste">
    <w:name w:val="List Paragraph"/>
    <w:basedOn w:val="Normal"/>
    <w:uiPriority w:val="1"/>
    <w:qFormat/>
    <w:rsid w:val="00FC3E4E"/>
    <w:pPr>
      <w:ind w:left="720"/>
      <w:contextualSpacing/>
    </w:pPr>
  </w:style>
  <w:style w:type="character" w:styleId="Accentuationintense">
    <w:name w:val="Intense Emphasis"/>
    <w:basedOn w:val="Policepardfaut"/>
    <w:uiPriority w:val="21"/>
    <w:qFormat/>
    <w:rsid w:val="00FC3E4E"/>
    <w:rPr>
      <w:i/>
      <w:iCs/>
      <w:color w:val="2F5496" w:themeColor="accent1" w:themeShade="BF"/>
    </w:rPr>
  </w:style>
  <w:style w:type="paragraph" w:styleId="Citationintense">
    <w:name w:val="Intense Quote"/>
    <w:basedOn w:val="Normal"/>
    <w:next w:val="Normal"/>
    <w:link w:val="CitationintenseCar"/>
    <w:uiPriority w:val="30"/>
    <w:qFormat/>
    <w:rsid w:val="00FC3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3E4E"/>
    <w:rPr>
      <w:i/>
      <w:iCs/>
      <w:color w:val="2F5496" w:themeColor="accent1" w:themeShade="BF"/>
    </w:rPr>
  </w:style>
  <w:style w:type="character" w:styleId="Rfrenceintense">
    <w:name w:val="Intense Reference"/>
    <w:basedOn w:val="Policepardfaut"/>
    <w:uiPriority w:val="32"/>
    <w:qFormat/>
    <w:rsid w:val="00FC3E4E"/>
    <w:rPr>
      <w:b/>
      <w:bCs/>
      <w:smallCaps/>
      <w:color w:val="2F5496" w:themeColor="accent1" w:themeShade="BF"/>
      <w:spacing w:val="5"/>
    </w:rPr>
  </w:style>
  <w:style w:type="table" w:customStyle="1" w:styleId="TableauGrille2-Accentuation11">
    <w:name w:val="Tableau Grille 2 - Accentuation 11"/>
    <w:basedOn w:val="TableauNormal"/>
    <w:uiPriority w:val="47"/>
    <w:rsid w:val="00FC3E4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edebulles">
    <w:name w:val="Balloon Text"/>
    <w:basedOn w:val="Normal"/>
    <w:link w:val="TextedebullesCar"/>
    <w:uiPriority w:val="99"/>
    <w:semiHidden/>
    <w:unhideWhenUsed/>
    <w:rsid w:val="003465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65DD"/>
    <w:rPr>
      <w:rFonts w:ascii="Segoe UI" w:hAnsi="Segoe UI" w:cs="Segoe UI"/>
      <w:sz w:val="18"/>
      <w:szCs w:val="18"/>
    </w:rPr>
  </w:style>
  <w:style w:type="character" w:styleId="Lienhypertexte">
    <w:name w:val="Hyperlink"/>
    <w:basedOn w:val="Policepardfaut"/>
    <w:uiPriority w:val="99"/>
    <w:unhideWhenUsed/>
    <w:rsid w:val="00DB1C35"/>
    <w:rPr>
      <w:color w:val="0563C1" w:themeColor="hyperlink"/>
      <w:u w:val="single"/>
    </w:rPr>
  </w:style>
  <w:style w:type="paragraph" w:styleId="Rvision">
    <w:name w:val="Revision"/>
    <w:hidden/>
    <w:uiPriority w:val="99"/>
    <w:semiHidden/>
    <w:rsid w:val="00BA1F57"/>
    <w:pPr>
      <w:spacing w:after="0" w:line="240" w:lineRule="auto"/>
    </w:pPr>
  </w:style>
  <w:style w:type="character" w:styleId="Marquedecommentaire">
    <w:name w:val="annotation reference"/>
    <w:basedOn w:val="Policepardfaut"/>
    <w:uiPriority w:val="99"/>
    <w:semiHidden/>
    <w:unhideWhenUsed/>
    <w:rsid w:val="00BA1F57"/>
    <w:rPr>
      <w:sz w:val="16"/>
      <w:szCs w:val="16"/>
    </w:rPr>
  </w:style>
  <w:style w:type="paragraph" w:styleId="Commentaire">
    <w:name w:val="annotation text"/>
    <w:basedOn w:val="Normal"/>
    <w:link w:val="CommentaireCar"/>
    <w:uiPriority w:val="99"/>
    <w:semiHidden/>
    <w:unhideWhenUsed/>
    <w:rsid w:val="00BA1F57"/>
    <w:pPr>
      <w:spacing w:line="240" w:lineRule="auto"/>
    </w:pPr>
    <w:rPr>
      <w:sz w:val="20"/>
      <w:szCs w:val="20"/>
    </w:rPr>
  </w:style>
  <w:style w:type="character" w:customStyle="1" w:styleId="CommentaireCar">
    <w:name w:val="Commentaire Car"/>
    <w:basedOn w:val="Policepardfaut"/>
    <w:link w:val="Commentaire"/>
    <w:uiPriority w:val="99"/>
    <w:semiHidden/>
    <w:rsid w:val="00BA1F57"/>
    <w:rPr>
      <w:sz w:val="20"/>
      <w:szCs w:val="20"/>
    </w:rPr>
  </w:style>
  <w:style w:type="paragraph" w:styleId="Objetducommentaire">
    <w:name w:val="annotation subject"/>
    <w:basedOn w:val="Commentaire"/>
    <w:next w:val="Commentaire"/>
    <w:link w:val="ObjetducommentaireCar"/>
    <w:uiPriority w:val="99"/>
    <w:semiHidden/>
    <w:unhideWhenUsed/>
    <w:rsid w:val="00BA1F57"/>
    <w:rPr>
      <w:b/>
      <w:bCs/>
    </w:rPr>
  </w:style>
  <w:style w:type="character" w:customStyle="1" w:styleId="ObjetducommentaireCar">
    <w:name w:val="Objet du commentaire Car"/>
    <w:basedOn w:val="CommentaireCar"/>
    <w:link w:val="Objetducommentaire"/>
    <w:uiPriority w:val="99"/>
    <w:semiHidden/>
    <w:rsid w:val="00BA1F57"/>
    <w:rPr>
      <w:b/>
      <w:bCs/>
      <w:sz w:val="20"/>
      <w:szCs w:val="20"/>
    </w:rPr>
  </w:style>
  <w:style w:type="paragraph" w:styleId="Corpsdetexte">
    <w:name w:val="Body Text"/>
    <w:basedOn w:val="Normal"/>
    <w:link w:val="CorpsdetexteCar"/>
    <w:uiPriority w:val="1"/>
    <w:qFormat/>
    <w:rsid w:val="00A400BA"/>
    <w:pPr>
      <w:widowControl w:val="0"/>
      <w:autoSpaceDE w:val="0"/>
      <w:autoSpaceDN w:val="0"/>
      <w:spacing w:after="0" w:line="240" w:lineRule="auto"/>
    </w:pPr>
    <w:rPr>
      <w:rFonts w:ascii="Arial Narrow" w:eastAsia="Arial Narrow" w:hAnsi="Arial Narrow" w:cs="Arial Narrow"/>
      <w:kern w:val="0"/>
      <w:sz w:val="24"/>
      <w:szCs w:val="24"/>
      <w14:ligatures w14:val="none"/>
    </w:rPr>
  </w:style>
  <w:style w:type="character" w:customStyle="1" w:styleId="CorpsdetexteCar">
    <w:name w:val="Corps de texte Car"/>
    <w:basedOn w:val="Policepardfaut"/>
    <w:link w:val="Corpsdetexte"/>
    <w:uiPriority w:val="1"/>
    <w:rsid w:val="00A400BA"/>
    <w:rPr>
      <w:rFonts w:ascii="Arial Narrow" w:eastAsia="Arial Narrow" w:hAnsi="Arial Narrow" w:cs="Arial Narrow"/>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1315">
      <w:bodyDiv w:val="1"/>
      <w:marLeft w:val="0"/>
      <w:marRight w:val="0"/>
      <w:marTop w:val="0"/>
      <w:marBottom w:val="0"/>
      <w:divBdr>
        <w:top w:val="none" w:sz="0" w:space="0" w:color="auto"/>
        <w:left w:val="none" w:sz="0" w:space="0" w:color="auto"/>
        <w:bottom w:val="none" w:sz="0" w:space="0" w:color="auto"/>
        <w:right w:val="none" w:sz="0" w:space="0" w:color="auto"/>
      </w:divBdr>
    </w:div>
    <w:div w:id="389038913">
      <w:bodyDiv w:val="1"/>
      <w:marLeft w:val="0"/>
      <w:marRight w:val="0"/>
      <w:marTop w:val="0"/>
      <w:marBottom w:val="0"/>
      <w:divBdr>
        <w:top w:val="none" w:sz="0" w:space="0" w:color="auto"/>
        <w:left w:val="none" w:sz="0" w:space="0" w:color="auto"/>
        <w:bottom w:val="none" w:sz="0" w:space="0" w:color="auto"/>
        <w:right w:val="none" w:sz="0" w:space="0" w:color="auto"/>
      </w:divBdr>
      <w:divsChild>
        <w:div w:id="656421598">
          <w:marLeft w:val="1080"/>
          <w:marRight w:val="0"/>
          <w:marTop w:val="80"/>
          <w:marBottom w:val="40"/>
          <w:divBdr>
            <w:top w:val="none" w:sz="0" w:space="0" w:color="auto"/>
            <w:left w:val="none" w:sz="0" w:space="0" w:color="auto"/>
            <w:bottom w:val="none" w:sz="0" w:space="0" w:color="auto"/>
            <w:right w:val="none" w:sz="0" w:space="0" w:color="auto"/>
          </w:divBdr>
        </w:div>
      </w:divsChild>
    </w:div>
    <w:div w:id="399257320">
      <w:bodyDiv w:val="1"/>
      <w:marLeft w:val="0"/>
      <w:marRight w:val="0"/>
      <w:marTop w:val="0"/>
      <w:marBottom w:val="0"/>
      <w:divBdr>
        <w:top w:val="none" w:sz="0" w:space="0" w:color="auto"/>
        <w:left w:val="none" w:sz="0" w:space="0" w:color="auto"/>
        <w:bottom w:val="none" w:sz="0" w:space="0" w:color="auto"/>
        <w:right w:val="none" w:sz="0" w:space="0" w:color="auto"/>
      </w:divBdr>
    </w:div>
    <w:div w:id="586236207">
      <w:bodyDiv w:val="1"/>
      <w:marLeft w:val="0"/>
      <w:marRight w:val="0"/>
      <w:marTop w:val="0"/>
      <w:marBottom w:val="0"/>
      <w:divBdr>
        <w:top w:val="none" w:sz="0" w:space="0" w:color="auto"/>
        <w:left w:val="none" w:sz="0" w:space="0" w:color="auto"/>
        <w:bottom w:val="none" w:sz="0" w:space="0" w:color="auto"/>
        <w:right w:val="none" w:sz="0" w:space="0" w:color="auto"/>
      </w:divBdr>
      <w:divsChild>
        <w:div w:id="429665087">
          <w:marLeft w:val="274"/>
          <w:marRight w:val="0"/>
          <w:marTop w:val="150"/>
          <w:marBottom w:val="0"/>
          <w:divBdr>
            <w:top w:val="none" w:sz="0" w:space="0" w:color="auto"/>
            <w:left w:val="none" w:sz="0" w:space="0" w:color="auto"/>
            <w:bottom w:val="none" w:sz="0" w:space="0" w:color="auto"/>
            <w:right w:val="none" w:sz="0" w:space="0" w:color="auto"/>
          </w:divBdr>
        </w:div>
      </w:divsChild>
    </w:div>
    <w:div w:id="789477106">
      <w:bodyDiv w:val="1"/>
      <w:marLeft w:val="0"/>
      <w:marRight w:val="0"/>
      <w:marTop w:val="0"/>
      <w:marBottom w:val="0"/>
      <w:divBdr>
        <w:top w:val="none" w:sz="0" w:space="0" w:color="auto"/>
        <w:left w:val="none" w:sz="0" w:space="0" w:color="auto"/>
        <w:bottom w:val="none" w:sz="0" w:space="0" w:color="auto"/>
        <w:right w:val="none" w:sz="0" w:space="0" w:color="auto"/>
      </w:divBdr>
    </w:div>
    <w:div w:id="1093669522">
      <w:bodyDiv w:val="1"/>
      <w:marLeft w:val="0"/>
      <w:marRight w:val="0"/>
      <w:marTop w:val="0"/>
      <w:marBottom w:val="0"/>
      <w:divBdr>
        <w:top w:val="none" w:sz="0" w:space="0" w:color="auto"/>
        <w:left w:val="none" w:sz="0" w:space="0" w:color="auto"/>
        <w:bottom w:val="none" w:sz="0" w:space="0" w:color="auto"/>
        <w:right w:val="none" w:sz="0" w:space="0" w:color="auto"/>
      </w:divBdr>
      <w:divsChild>
        <w:div w:id="1194922424">
          <w:marLeft w:val="706"/>
          <w:marRight w:val="0"/>
          <w:marTop w:val="240"/>
          <w:marBottom w:val="120"/>
          <w:divBdr>
            <w:top w:val="none" w:sz="0" w:space="0" w:color="auto"/>
            <w:left w:val="none" w:sz="0" w:space="0" w:color="auto"/>
            <w:bottom w:val="none" w:sz="0" w:space="0" w:color="auto"/>
            <w:right w:val="none" w:sz="0" w:space="0" w:color="auto"/>
          </w:divBdr>
        </w:div>
      </w:divsChild>
    </w:div>
    <w:div w:id="1552423594">
      <w:bodyDiv w:val="1"/>
      <w:marLeft w:val="0"/>
      <w:marRight w:val="0"/>
      <w:marTop w:val="0"/>
      <w:marBottom w:val="0"/>
      <w:divBdr>
        <w:top w:val="none" w:sz="0" w:space="0" w:color="auto"/>
        <w:left w:val="none" w:sz="0" w:space="0" w:color="auto"/>
        <w:bottom w:val="none" w:sz="0" w:space="0" w:color="auto"/>
        <w:right w:val="none" w:sz="0" w:space="0" w:color="auto"/>
      </w:divBdr>
      <w:divsChild>
        <w:div w:id="1089232058">
          <w:marLeft w:val="1080"/>
          <w:marRight w:val="0"/>
          <w:marTop w:val="80"/>
          <w:marBottom w:val="40"/>
          <w:divBdr>
            <w:top w:val="none" w:sz="0" w:space="0" w:color="auto"/>
            <w:left w:val="none" w:sz="0" w:space="0" w:color="auto"/>
            <w:bottom w:val="none" w:sz="0" w:space="0" w:color="auto"/>
            <w:right w:val="none" w:sz="0" w:space="0" w:color="auto"/>
          </w:divBdr>
        </w:div>
      </w:divsChild>
    </w:div>
    <w:div w:id="1649936414">
      <w:bodyDiv w:val="1"/>
      <w:marLeft w:val="0"/>
      <w:marRight w:val="0"/>
      <w:marTop w:val="0"/>
      <w:marBottom w:val="0"/>
      <w:divBdr>
        <w:top w:val="none" w:sz="0" w:space="0" w:color="auto"/>
        <w:left w:val="none" w:sz="0" w:space="0" w:color="auto"/>
        <w:bottom w:val="none" w:sz="0" w:space="0" w:color="auto"/>
        <w:right w:val="none" w:sz="0" w:space="0" w:color="auto"/>
      </w:divBdr>
    </w:div>
    <w:div w:id="1923486396">
      <w:bodyDiv w:val="1"/>
      <w:marLeft w:val="0"/>
      <w:marRight w:val="0"/>
      <w:marTop w:val="0"/>
      <w:marBottom w:val="0"/>
      <w:divBdr>
        <w:top w:val="none" w:sz="0" w:space="0" w:color="auto"/>
        <w:left w:val="none" w:sz="0" w:space="0" w:color="auto"/>
        <w:bottom w:val="none" w:sz="0" w:space="0" w:color="auto"/>
        <w:right w:val="none" w:sz="0" w:space="0" w:color="auto"/>
      </w:divBdr>
    </w:div>
    <w:div w:id="2111705343">
      <w:bodyDiv w:val="1"/>
      <w:marLeft w:val="0"/>
      <w:marRight w:val="0"/>
      <w:marTop w:val="0"/>
      <w:marBottom w:val="0"/>
      <w:divBdr>
        <w:top w:val="none" w:sz="0" w:space="0" w:color="auto"/>
        <w:left w:val="none" w:sz="0" w:space="0" w:color="auto"/>
        <w:bottom w:val="none" w:sz="0" w:space="0" w:color="auto"/>
        <w:right w:val="none" w:sz="0" w:space="0" w:color="auto"/>
      </w:divBdr>
      <w:divsChild>
        <w:div w:id="750153827">
          <w:marLeft w:val="1080"/>
          <w:marRight w:val="0"/>
          <w:marTop w:val="80"/>
          <w:marBottom w:val="40"/>
          <w:divBdr>
            <w:top w:val="none" w:sz="0" w:space="0" w:color="auto"/>
            <w:left w:val="none" w:sz="0" w:space="0" w:color="auto"/>
            <w:bottom w:val="none" w:sz="0" w:space="0" w:color="auto"/>
            <w:right w:val="none" w:sz="0" w:space="0" w:color="auto"/>
          </w:divBdr>
        </w:div>
        <w:div w:id="1028533244">
          <w:marLeft w:val="1800"/>
          <w:marRight w:val="0"/>
          <w:marTop w:val="80"/>
          <w:marBottom w:val="40"/>
          <w:divBdr>
            <w:top w:val="none" w:sz="0" w:space="0" w:color="auto"/>
            <w:left w:val="none" w:sz="0" w:space="0" w:color="auto"/>
            <w:bottom w:val="none" w:sz="0" w:space="0" w:color="auto"/>
            <w:right w:val="none" w:sz="0" w:space="0" w:color="auto"/>
          </w:divBdr>
        </w:div>
        <w:div w:id="1126850954">
          <w:marLeft w:val="1800"/>
          <w:marRight w:val="0"/>
          <w:marTop w:val="80"/>
          <w:marBottom w:val="40"/>
          <w:divBdr>
            <w:top w:val="none" w:sz="0" w:space="0" w:color="auto"/>
            <w:left w:val="none" w:sz="0" w:space="0" w:color="auto"/>
            <w:bottom w:val="none" w:sz="0" w:space="0" w:color="auto"/>
            <w:right w:val="none" w:sz="0" w:space="0" w:color="auto"/>
          </w:divBdr>
        </w:div>
        <w:div w:id="40441411">
          <w:marLeft w:val="1800"/>
          <w:marRight w:val="0"/>
          <w:marTop w:val="80"/>
          <w:marBottom w:val="40"/>
          <w:divBdr>
            <w:top w:val="none" w:sz="0" w:space="0" w:color="auto"/>
            <w:left w:val="none" w:sz="0" w:space="0" w:color="auto"/>
            <w:bottom w:val="none" w:sz="0" w:space="0" w:color="auto"/>
            <w:right w:val="none" w:sz="0" w:space="0" w:color="auto"/>
          </w:divBdr>
        </w:div>
        <w:div w:id="687102775">
          <w:marLeft w:val="1800"/>
          <w:marRight w:val="0"/>
          <w:marTop w:val="80"/>
          <w:marBottom w:val="40"/>
          <w:divBdr>
            <w:top w:val="none" w:sz="0" w:space="0" w:color="auto"/>
            <w:left w:val="none" w:sz="0" w:space="0" w:color="auto"/>
            <w:bottom w:val="none" w:sz="0" w:space="0" w:color="auto"/>
            <w:right w:val="none" w:sz="0" w:space="0" w:color="auto"/>
          </w:divBdr>
        </w:div>
      </w:divsChild>
    </w:div>
    <w:div w:id="21139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tat-mali.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927</Words>
  <Characters>5100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Ahmadou TOURE</dc:creator>
  <cp:keywords/>
  <dc:description/>
  <cp:lastModifiedBy>MK</cp:lastModifiedBy>
  <cp:revision>4</cp:revision>
  <dcterms:created xsi:type="dcterms:W3CDTF">2025-07-03T12:09:00Z</dcterms:created>
  <dcterms:modified xsi:type="dcterms:W3CDTF">2025-07-28T21:22:00Z</dcterms:modified>
</cp:coreProperties>
</file>