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CE6F" w14:textId="77777777" w:rsidR="00327CD1" w:rsidRDefault="00327CD1"/>
    <w:tbl>
      <w:tblPr>
        <w:tblStyle w:val="TableauGrille2-Accentuation11"/>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80"/>
        <w:gridCol w:w="6610"/>
      </w:tblGrid>
      <w:tr w:rsidR="00AE19A3" w:rsidRPr="00F56346" w14:paraId="330732DE" w14:textId="77777777" w:rsidTr="00C4120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right w:val="single" w:sz="4" w:space="0" w:color="auto"/>
            </w:tcBorders>
            <w:vAlign w:val="center"/>
          </w:tcPr>
          <w:p w14:paraId="669E1326" w14:textId="5707EB51" w:rsidR="00AE19A3" w:rsidRPr="00F56346" w:rsidRDefault="00AE19A3" w:rsidP="00AE19A3">
            <w:pPr>
              <w:rPr>
                <w:rFonts w:ascii="Arial Narrow" w:hAnsi="Arial Narrow"/>
                <w:b w:val="0"/>
              </w:rPr>
            </w:pPr>
            <w:r w:rsidRPr="00F4408A">
              <w:rPr>
                <w:rFonts w:ascii="Arial Narrow" w:hAnsi="Arial Narrow"/>
                <w:bCs w:val="0"/>
              </w:rPr>
              <w:t>N°</w:t>
            </w:r>
          </w:p>
        </w:tc>
        <w:tc>
          <w:tcPr>
            <w:tcW w:w="1333" w:type="pct"/>
            <w:tcBorders>
              <w:top w:val="single" w:sz="4" w:space="0" w:color="auto"/>
              <w:left w:val="single" w:sz="4" w:space="0" w:color="auto"/>
              <w:bottom w:val="single" w:sz="4" w:space="0" w:color="auto"/>
              <w:right w:val="single" w:sz="4" w:space="0" w:color="auto"/>
            </w:tcBorders>
          </w:tcPr>
          <w:p w14:paraId="59517723" w14:textId="2EEA8649" w:rsidR="00AE19A3" w:rsidRPr="00F56346" w:rsidRDefault="00AE19A3" w:rsidP="00AE19A3">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Rubrique</w:t>
            </w:r>
          </w:p>
        </w:tc>
        <w:tc>
          <w:tcPr>
            <w:tcW w:w="3415" w:type="pct"/>
            <w:tcBorders>
              <w:top w:val="single" w:sz="4" w:space="0" w:color="auto"/>
              <w:left w:val="single" w:sz="4" w:space="0" w:color="auto"/>
            </w:tcBorders>
            <w:vAlign w:val="center"/>
          </w:tcPr>
          <w:p w14:paraId="25546DDB" w14:textId="6AEBA3B2" w:rsidR="00AE19A3" w:rsidRPr="00F56346" w:rsidRDefault="00AE19A3" w:rsidP="00AE19A3">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56346">
              <w:rPr>
                <w:rFonts w:ascii="Arial Narrow" w:hAnsi="Arial Narrow"/>
                <w:b w:val="0"/>
                <w:bCs w:val="0"/>
              </w:rPr>
              <w:t>Description</w:t>
            </w:r>
          </w:p>
        </w:tc>
      </w:tr>
      <w:tr w:rsidR="00AE19A3" w:rsidRPr="00F56346" w14:paraId="4F8F0BAA" w14:textId="77777777" w:rsidTr="00C4120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tcBorders>
            <w:vAlign w:val="center"/>
          </w:tcPr>
          <w:p w14:paraId="5A649093" w14:textId="6E0047C9" w:rsidR="00AE19A3" w:rsidRPr="00F56346" w:rsidRDefault="00AE19A3" w:rsidP="00AE19A3">
            <w:pPr>
              <w:rPr>
                <w:rFonts w:ascii="Arial Narrow" w:hAnsi="Arial Narrow"/>
              </w:rPr>
            </w:pPr>
            <w:r w:rsidRPr="00F4408A">
              <w:rPr>
                <w:rFonts w:ascii="Arial Narrow" w:hAnsi="Arial Narrow"/>
                <w:b w:val="0"/>
              </w:rPr>
              <w:t>1</w:t>
            </w:r>
          </w:p>
        </w:tc>
        <w:tc>
          <w:tcPr>
            <w:tcW w:w="1333" w:type="pct"/>
            <w:tcBorders>
              <w:top w:val="single" w:sz="4" w:space="0" w:color="auto"/>
            </w:tcBorders>
          </w:tcPr>
          <w:p w14:paraId="5F0B35F6" w14:textId="674514C5" w:rsidR="00AE19A3" w:rsidRPr="00F56346" w:rsidRDefault="00AE19A3" w:rsidP="00AE19A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4408A">
              <w:rPr>
                <w:rFonts w:ascii="Arial Narrow" w:hAnsi="Arial Narrow"/>
              </w:rPr>
              <w:t>Nom du Département et missions</w:t>
            </w:r>
          </w:p>
        </w:tc>
        <w:tc>
          <w:tcPr>
            <w:tcW w:w="3415" w:type="pct"/>
            <w:tcBorders>
              <w:top w:val="single" w:sz="4" w:space="0" w:color="auto"/>
            </w:tcBorders>
            <w:vAlign w:val="center"/>
          </w:tcPr>
          <w:p w14:paraId="0D2A0FAA" w14:textId="77777777" w:rsidR="00AE19A3"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F56346">
              <w:rPr>
                <w:rFonts w:ascii="Arial Narrow" w:hAnsi="Arial Narrow"/>
                <w:b/>
                <w:bCs/>
              </w:rPr>
              <w:t>Département des Statistiques Agricoles et Environnementales</w:t>
            </w:r>
          </w:p>
          <w:p w14:paraId="4C22010C" w14:textId="21A7A8B4"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CB666D">
              <w:rPr>
                <w:rFonts w:ascii="Arial Narrow" w:hAnsi="Arial Narrow"/>
              </w:rPr>
              <w:t>Le département est chargé de : (i) produire les notes méthodologiques sur la collecte des données dans les secteurs agricole et environnemental ; (ii) apporter l’appui conseil aux structures sectorielles de planification et de statistique dans la conception et la réalisation des enquêtes et recensements agricoles et environnementales ; (iii) assurer le traitement et la sauvegarde des données d’enquêtes et (iv) participer à l’instruction des demandes de visa statistique.</w:t>
            </w:r>
          </w:p>
        </w:tc>
      </w:tr>
      <w:tr w:rsidR="00AE19A3" w:rsidRPr="00F56346" w14:paraId="12DEFF2D"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0D64B4C" w14:textId="46422B71" w:rsidR="00AE19A3" w:rsidRPr="00F56346" w:rsidRDefault="00AE19A3" w:rsidP="00AE19A3">
            <w:pPr>
              <w:rPr>
                <w:rFonts w:ascii="Arial Narrow" w:hAnsi="Arial Narrow"/>
                <w:b w:val="0"/>
              </w:rPr>
            </w:pPr>
            <w:r w:rsidRPr="00F4408A">
              <w:rPr>
                <w:rFonts w:ascii="Arial Narrow" w:hAnsi="Arial Narrow"/>
                <w:b w:val="0"/>
              </w:rPr>
              <w:t>2</w:t>
            </w:r>
          </w:p>
        </w:tc>
        <w:tc>
          <w:tcPr>
            <w:tcW w:w="1333" w:type="pct"/>
            <w:vAlign w:val="center"/>
          </w:tcPr>
          <w:p w14:paraId="581369F1" w14:textId="7A85BA6F" w:rsidR="00AE19A3" w:rsidRPr="00F56346" w:rsidRDefault="00AE19A3" w:rsidP="00AE19A3">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Nom du Produit statistique </w:t>
            </w:r>
          </w:p>
        </w:tc>
        <w:tc>
          <w:tcPr>
            <w:tcW w:w="3415" w:type="pct"/>
            <w:vAlign w:val="center"/>
          </w:tcPr>
          <w:p w14:paraId="7BD41964" w14:textId="5944028B"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56346">
              <w:rPr>
                <w:rFonts w:ascii="Arial Narrow" w:hAnsi="Arial Narrow"/>
                <w:b/>
                <w:bCs/>
                <w:i/>
                <w:iCs/>
              </w:rPr>
              <w:t>Rapport d’analyse de l’estimation des déchets solides municipaux (DSM) dans les dépôts de transit</w:t>
            </w:r>
          </w:p>
        </w:tc>
      </w:tr>
      <w:tr w:rsidR="00AE19A3" w:rsidRPr="00F56346" w14:paraId="2C29D9BB"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0FF01FEB" w14:textId="0F10E77B" w:rsidR="00AE19A3" w:rsidRPr="00F56346" w:rsidRDefault="00AE19A3" w:rsidP="00AE19A3">
            <w:pPr>
              <w:rPr>
                <w:rFonts w:ascii="Arial Narrow" w:hAnsi="Arial Narrow"/>
                <w:b w:val="0"/>
              </w:rPr>
            </w:pPr>
            <w:r w:rsidRPr="00F4408A">
              <w:rPr>
                <w:rFonts w:ascii="Arial Narrow" w:hAnsi="Arial Narrow"/>
                <w:b w:val="0"/>
              </w:rPr>
              <w:t>3</w:t>
            </w:r>
          </w:p>
        </w:tc>
        <w:tc>
          <w:tcPr>
            <w:tcW w:w="1333" w:type="pct"/>
            <w:vAlign w:val="center"/>
          </w:tcPr>
          <w:p w14:paraId="0A052130" w14:textId="3EC29299"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Objectif</w:t>
            </w:r>
            <w:r>
              <w:rPr>
                <w:rFonts w:ascii="Arial Narrow" w:hAnsi="Arial Narrow"/>
                <w:bCs/>
              </w:rPr>
              <w:t xml:space="preserve"> </w:t>
            </w:r>
            <w:r w:rsidRPr="00CB666D">
              <w:rPr>
                <w:rFonts w:ascii="Arial Narrow" w:hAnsi="Arial Narrow"/>
                <w:bCs/>
              </w:rPr>
              <w:t>principal</w:t>
            </w:r>
            <w:r w:rsidRPr="00F4408A">
              <w:rPr>
                <w:rFonts w:ascii="Arial Narrow" w:hAnsi="Arial Narrow"/>
                <w:bCs/>
              </w:rPr>
              <w:t xml:space="preserve"> du produit et son historique </w:t>
            </w:r>
          </w:p>
        </w:tc>
        <w:tc>
          <w:tcPr>
            <w:tcW w:w="3415" w:type="pct"/>
            <w:vAlign w:val="center"/>
          </w:tcPr>
          <w:p w14:paraId="01D6E55D" w14:textId="6B3D3FAB"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56346">
              <w:rPr>
                <w:rFonts w:ascii="Arial Narrow" w:hAnsi="Arial Narrow"/>
              </w:rPr>
              <w:t>Estimer le niveau les DSM déposé dans les dépôts de transit par an. Rapport d’analyse d’estimation des DSM 2021</w:t>
            </w:r>
          </w:p>
        </w:tc>
      </w:tr>
      <w:tr w:rsidR="00AE19A3" w:rsidRPr="00F56346" w14:paraId="170FF4C5"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C92B692" w14:textId="20C7B2D3" w:rsidR="00AE19A3" w:rsidRPr="00F56346" w:rsidRDefault="00AE19A3" w:rsidP="00AE19A3">
            <w:pPr>
              <w:rPr>
                <w:rFonts w:ascii="Arial Narrow" w:hAnsi="Arial Narrow"/>
                <w:b w:val="0"/>
                <w:bCs w:val="0"/>
              </w:rPr>
            </w:pPr>
            <w:r w:rsidRPr="00F4408A">
              <w:rPr>
                <w:rFonts w:ascii="Arial Narrow" w:hAnsi="Arial Narrow"/>
                <w:b w:val="0"/>
                <w:bCs w:val="0"/>
              </w:rPr>
              <w:t>4</w:t>
            </w:r>
          </w:p>
        </w:tc>
        <w:tc>
          <w:tcPr>
            <w:tcW w:w="1333" w:type="pct"/>
            <w:vAlign w:val="center"/>
          </w:tcPr>
          <w:p w14:paraId="0372F581" w14:textId="07F3CB02"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Méthodologie utilisée </w:t>
            </w:r>
            <w:r w:rsidRPr="00F4408A">
              <w:rPr>
                <w:rFonts w:ascii="Arial Narrow" w:hAnsi="Arial Narrow"/>
                <w:bCs/>
                <w:u w:val="single"/>
              </w:rPr>
              <w:t>ou aperçu sur l’interface s’il s’agit d’une base de données ou site web</w:t>
            </w:r>
          </w:p>
        </w:tc>
        <w:tc>
          <w:tcPr>
            <w:tcW w:w="3415" w:type="pct"/>
            <w:vAlign w:val="center"/>
          </w:tcPr>
          <w:p w14:paraId="6068D123" w14:textId="77777777"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56346">
              <w:rPr>
                <w:rFonts w:ascii="Arial Narrow" w:hAnsi="Arial Narrow"/>
              </w:rPr>
              <w:t xml:space="preserve">Deux cent trente-six (236) dépôts ont été visités pour estimer la quantité de DSM versés dans les dépôts de transit par an. En effet, la collecte de données dans les dépôts de transit a consisté à exploiter leurs archives s’il en existe afin de relever les quantités de déchets reçus par jour, par semaine ou par mois. Dans le cas contraire surtout pour les dépôts sauvages, la collecte était effectuée directement en postant l’enquêteur sur le terrain pendant une journée en vue de pointer l’acheminement des déchets. </w:t>
            </w:r>
          </w:p>
          <w:p w14:paraId="6C411001" w14:textId="22D85605"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56346">
              <w:rPr>
                <w:rFonts w:ascii="Arial Narrow" w:hAnsi="Arial Narrow"/>
              </w:rPr>
              <w:t>Pour ce faire, nous avions utilisé l’équivalent en mètre cube des matériels utilisés permettant de transporter les déchets des ménages aux dépôts de transit. En effet, de façon générale : 1 voyage de charrette = 2m3 ; 1 pousse- pousse = 1m3 ; 5 voyages de brouette = 1m3 ; 10 poubelles (paniers) = 1m3 selon l’enquête DSUVA de 2006</w:t>
            </w:r>
          </w:p>
        </w:tc>
      </w:tr>
      <w:tr w:rsidR="00AE19A3" w:rsidRPr="00F56346" w14:paraId="7769116C"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A2DED86" w14:textId="0DC9378C" w:rsidR="00AE19A3" w:rsidRPr="00F56346" w:rsidRDefault="00AE19A3" w:rsidP="00AE19A3">
            <w:pPr>
              <w:rPr>
                <w:rFonts w:ascii="Arial Narrow" w:hAnsi="Arial Narrow"/>
                <w:b w:val="0"/>
              </w:rPr>
            </w:pPr>
            <w:r w:rsidRPr="00F4408A">
              <w:rPr>
                <w:rFonts w:ascii="Arial Narrow" w:hAnsi="Arial Narrow"/>
                <w:b w:val="0"/>
              </w:rPr>
              <w:t>5</w:t>
            </w:r>
          </w:p>
        </w:tc>
        <w:tc>
          <w:tcPr>
            <w:tcW w:w="1333" w:type="pct"/>
            <w:vAlign w:val="center"/>
          </w:tcPr>
          <w:p w14:paraId="2EFE2438" w14:textId="61A40430"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Principaux indicateurs renseignés ou </w:t>
            </w:r>
            <w:r w:rsidRPr="00F4408A">
              <w:rPr>
                <w:rFonts w:ascii="Arial Narrow" w:hAnsi="Arial Narrow"/>
                <w:bCs/>
                <w:u w:val="single"/>
              </w:rPr>
              <w:t>disponibles dans la base de données ou site web, le cas échéant</w:t>
            </w:r>
          </w:p>
        </w:tc>
        <w:tc>
          <w:tcPr>
            <w:tcW w:w="3415" w:type="pct"/>
            <w:vAlign w:val="center"/>
          </w:tcPr>
          <w:p w14:paraId="2DA1EE9F" w14:textId="7698408C" w:rsidR="00AE19A3" w:rsidRPr="00F56346" w:rsidRDefault="00AE19A3" w:rsidP="00AE19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56346">
              <w:rPr>
                <w:rFonts w:ascii="Arial Narrow" w:hAnsi="Arial Narrow"/>
              </w:rPr>
              <w:t>Quantité de DSM déposés dans les dépôts de transit</w:t>
            </w:r>
          </w:p>
          <w:p w14:paraId="4420A141" w14:textId="4D46DD80" w:rsidR="00AE19A3" w:rsidRPr="00F56346" w:rsidRDefault="00AE19A3" w:rsidP="00AE19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F56346">
              <w:rPr>
                <w:rFonts w:ascii="Arial Narrow" w:hAnsi="Arial Narrow"/>
              </w:rPr>
              <w:t>Quantité de DSM évacués dans les décharges</w:t>
            </w:r>
          </w:p>
          <w:p w14:paraId="66C03974" w14:textId="7ED003FD" w:rsidR="00AE19A3" w:rsidRPr="00F56346" w:rsidRDefault="00AE19A3" w:rsidP="00AE19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F56346">
              <w:rPr>
                <w:rFonts w:ascii="Arial Narrow" w:hAnsi="Arial Narrow"/>
              </w:rPr>
              <w:t>(Possibilité de calculer ODD 11.6.1</w:t>
            </w:r>
            <w:r w:rsidRPr="00F56346">
              <w:rPr>
                <w:rFonts w:ascii="Arial Narrow" w:hAnsi="Arial Narrow"/>
                <w:b/>
                <w:bCs/>
              </w:rPr>
              <w:t xml:space="preserve"> </w:t>
            </w:r>
            <w:r w:rsidRPr="00F56346">
              <w:rPr>
                <w:rFonts w:ascii="Arial Narrow" w:hAnsi="Arial Narrow"/>
              </w:rPr>
              <w:t>Proportion de déchets municipaux solides collectés et gérés dans des installations contrôlées sur le total des déchets municipaux générés)</w:t>
            </w:r>
          </w:p>
        </w:tc>
      </w:tr>
      <w:tr w:rsidR="00AE19A3" w:rsidRPr="00F56346" w14:paraId="1F28B949" w14:textId="77777777" w:rsidTr="00B909E7">
        <w:trPr>
          <w:trHeight w:val="203"/>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4CE46DC" w14:textId="276C1C16" w:rsidR="00AE19A3" w:rsidRPr="00F56346" w:rsidRDefault="00AE19A3" w:rsidP="00AE19A3">
            <w:pPr>
              <w:rPr>
                <w:rFonts w:ascii="Arial Narrow" w:hAnsi="Arial Narrow"/>
                <w:b w:val="0"/>
              </w:rPr>
            </w:pPr>
            <w:r w:rsidRPr="00F4408A">
              <w:rPr>
                <w:rFonts w:ascii="Arial Narrow" w:hAnsi="Arial Narrow"/>
                <w:b w:val="0"/>
              </w:rPr>
              <w:t>6</w:t>
            </w:r>
          </w:p>
        </w:tc>
        <w:tc>
          <w:tcPr>
            <w:tcW w:w="1333" w:type="pct"/>
            <w:vAlign w:val="center"/>
          </w:tcPr>
          <w:p w14:paraId="48812BAE" w14:textId="7E162A0C"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Utilisateurs (Cibles)</w:t>
            </w:r>
          </w:p>
        </w:tc>
        <w:tc>
          <w:tcPr>
            <w:tcW w:w="3415" w:type="pct"/>
            <w:vAlign w:val="center"/>
          </w:tcPr>
          <w:p w14:paraId="1E75902C" w14:textId="7A9B3B05"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56346">
              <w:rPr>
                <w:rFonts w:ascii="Arial Narrow" w:hAnsi="Arial Narrow"/>
              </w:rPr>
              <w:t>SSN, chercheurs, partenaires au développement</w:t>
            </w:r>
          </w:p>
        </w:tc>
      </w:tr>
      <w:tr w:rsidR="00AE19A3" w:rsidRPr="00F56346" w14:paraId="6ED968C3"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858DC10" w14:textId="5427FC93" w:rsidR="00AE19A3" w:rsidRPr="00F56346" w:rsidRDefault="00AE19A3" w:rsidP="00AE19A3">
            <w:pPr>
              <w:rPr>
                <w:rFonts w:ascii="Arial Narrow" w:hAnsi="Arial Narrow"/>
                <w:b w:val="0"/>
              </w:rPr>
            </w:pPr>
            <w:r w:rsidRPr="00F4408A">
              <w:rPr>
                <w:rFonts w:ascii="Arial Narrow" w:hAnsi="Arial Narrow"/>
                <w:b w:val="0"/>
              </w:rPr>
              <w:t>7</w:t>
            </w:r>
          </w:p>
        </w:tc>
        <w:tc>
          <w:tcPr>
            <w:tcW w:w="1333" w:type="pct"/>
            <w:vAlign w:val="center"/>
          </w:tcPr>
          <w:p w14:paraId="03FF5B03" w14:textId="440B2D7E"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Fréquence de production/Publication</w:t>
            </w:r>
          </w:p>
        </w:tc>
        <w:tc>
          <w:tcPr>
            <w:tcW w:w="3415" w:type="pct"/>
            <w:vAlign w:val="center"/>
          </w:tcPr>
          <w:p w14:paraId="765325AE" w14:textId="4DFCB680"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56346">
              <w:rPr>
                <w:rFonts w:ascii="Arial Narrow" w:hAnsi="Arial Narrow"/>
              </w:rPr>
              <w:t>Tous les trois ans</w:t>
            </w:r>
          </w:p>
        </w:tc>
      </w:tr>
      <w:tr w:rsidR="00AE19A3" w:rsidRPr="00F56346" w14:paraId="64799522"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AD7CAB9" w14:textId="6B7AFC0F" w:rsidR="00AE19A3" w:rsidRPr="00F56346" w:rsidRDefault="00AE19A3" w:rsidP="00AE19A3">
            <w:pPr>
              <w:rPr>
                <w:rFonts w:ascii="Arial Narrow" w:hAnsi="Arial Narrow"/>
              </w:rPr>
            </w:pPr>
            <w:r w:rsidRPr="00F4408A">
              <w:rPr>
                <w:rFonts w:ascii="Arial Narrow" w:hAnsi="Arial Narrow"/>
                <w:b w:val="0"/>
              </w:rPr>
              <w:t>8</w:t>
            </w:r>
          </w:p>
        </w:tc>
        <w:tc>
          <w:tcPr>
            <w:tcW w:w="1333" w:type="pct"/>
            <w:vAlign w:val="center"/>
          </w:tcPr>
          <w:p w14:paraId="6388EE4D" w14:textId="6380BBA0"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lang w:eastAsia="en-US"/>
              </w:rPr>
              <w:t>Thématiques couvertes</w:t>
            </w:r>
          </w:p>
        </w:tc>
        <w:tc>
          <w:tcPr>
            <w:tcW w:w="3415" w:type="pct"/>
            <w:vAlign w:val="center"/>
          </w:tcPr>
          <w:p w14:paraId="172AEAAC" w14:textId="55827BE0" w:rsidR="00AE19A3" w:rsidRPr="00F56346" w:rsidRDefault="004E4DF8"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lang w:eastAsia="en-US"/>
              </w:rPr>
              <w:t>Déchets dans les DSM</w:t>
            </w:r>
          </w:p>
        </w:tc>
      </w:tr>
      <w:tr w:rsidR="00AE19A3" w:rsidRPr="00F56346" w14:paraId="3D78AA60"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594F80D" w14:textId="1F735EFB" w:rsidR="00AE19A3" w:rsidRPr="00F56346" w:rsidRDefault="00AE19A3" w:rsidP="00AE19A3">
            <w:pPr>
              <w:rPr>
                <w:rFonts w:ascii="Arial Narrow" w:hAnsi="Arial Narrow"/>
                <w:b w:val="0"/>
              </w:rPr>
            </w:pPr>
            <w:r w:rsidRPr="00F4408A">
              <w:rPr>
                <w:rFonts w:ascii="Arial Narrow" w:hAnsi="Arial Narrow"/>
                <w:b w:val="0"/>
              </w:rPr>
              <w:t>9</w:t>
            </w:r>
          </w:p>
        </w:tc>
        <w:tc>
          <w:tcPr>
            <w:tcW w:w="1333" w:type="pct"/>
            <w:vAlign w:val="center"/>
          </w:tcPr>
          <w:p w14:paraId="5EFCE443" w14:textId="7644CC2C"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Niveau de désagrégation (représentativité des données) ; principales désagrégations</w:t>
            </w:r>
          </w:p>
        </w:tc>
        <w:tc>
          <w:tcPr>
            <w:tcW w:w="3415" w:type="pct"/>
            <w:vAlign w:val="center"/>
          </w:tcPr>
          <w:p w14:paraId="26CDBA81" w14:textId="5B2E5C07"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56346">
              <w:rPr>
                <w:rFonts w:ascii="Arial Narrow" w:hAnsi="Arial Narrow"/>
              </w:rPr>
              <w:t>Calculé pour le pays et les régions</w:t>
            </w:r>
          </w:p>
        </w:tc>
      </w:tr>
      <w:tr w:rsidR="00AE19A3" w:rsidRPr="00F56346" w14:paraId="76103D15"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2CF19A" w14:textId="343D08F1" w:rsidR="00AE19A3" w:rsidRPr="00F56346" w:rsidRDefault="00AE19A3" w:rsidP="00AE19A3">
            <w:pPr>
              <w:rPr>
                <w:rFonts w:ascii="Arial Narrow" w:hAnsi="Arial Narrow"/>
              </w:rPr>
            </w:pPr>
            <w:r w:rsidRPr="00F4408A">
              <w:rPr>
                <w:rFonts w:ascii="Arial Narrow" w:hAnsi="Arial Narrow"/>
                <w:b w:val="0"/>
              </w:rPr>
              <w:t>10</w:t>
            </w:r>
          </w:p>
        </w:tc>
        <w:tc>
          <w:tcPr>
            <w:tcW w:w="1333" w:type="pct"/>
            <w:vAlign w:val="center"/>
          </w:tcPr>
          <w:p w14:paraId="2C3D7AC9" w14:textId="49F001AF" w:rsidR="00AE19A3" w:rsidRPr="00F56346" w:rsidRDefault="00AE19A3" w:rsidP="00AE19A3">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Modalités d’accès</w:t>
            </w:r>
          </w:p>
        </w:tc>
        <w:tc>
          <w:tcPr>
            <w:tcW w:w="3415" w:type="pct"/>
            <w:vAlign w:val="center"/>
          </w:tcPr>
          <w:p w14:paraId="507329BC" w14:textId="310422FB" w:rsidR="00AE19A3"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Pr>
                <w:rFonts w:ascii="Arial Narrow" w:hAnsi="Arial Narrow"/>
                <w:bCs/>
              </w:rPr>
              <w:t>Sur site Internet de l’INSTAT</w:t>
            </w:r>
          </w:p>
          <w:p w14:paraId="108C6BCC" w14:textId="2313FA39" w:rsidR="00AE19A3" w:rsidRPr="00074F28"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074F28">
              <w:rPr>
                <w:rFonts w:ascii="Arial Narrow" w:hAnsi="Arial Narrow"/>
                <w:bCs/>
              </w:rPr>
              <w:t>instat-mali.org/storage/172/rapanalyse-collecte-dechets-2021_pub.pdf</w:t>
            </w:r>
          </w:p>
        </w:tc>
      </w:tr>
      <w:tr w:rsidR="00AE19A3" w:rsidRPr="00F56346" w14:paraId="55B40AB6"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680455DF" w14:textId="416B4E66" w:rsidR="00AE19A3" w:rsidRPr="00F56346" w:rsidRDefault="00AE19A3" w:rsidP="00AE19A3">
            <w:pPr>
              <w:rPr>
                <w:rFonts w:ascii="Arial Narrow" w:hAnsi="Arial Narrow"/>
                <w:b w:val="0"/>
                <w:color w:val="FF0000"/>
              </w:rPr>
            </w:pPr>
            <w:r w:rsidRPr="00F4408A">
              <w:rPr>
                <w:rFonts w:ascii="Arial Narrow" w:hAnsi="Arial Narrow"/>
                <w:b w:val="0"/>
              </w:rPr>
              <w:t>11</w:t>
            </w:r>
          </w:p>
        </w:tc>
        <w:tc>
          <w:tcPr>
            <w:tcW w:w="1333" w:type="pct"/>
            <w:vAlign w:val="center"/>
          </w:tcPr>
          <w:p w14:paraId="095F46F9" w14:textId="66447DA6" w:rsidR="00AE19A3" w:rsidRPr="00F56346" w:rsidRDefault="00AE19A3" w:rsidP="00AE19A3">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 Nature du Support</w:t>
            </w:r>
          </w:p>
        </w:tc>
        <w:tc>
          <w:tcPr>
            <w:tcW w:w="3415" w:type="pct"/>
            <w:vAlign w:val="center"/>
          </w:tcPr>
          <w:p w14:paraId="273274B5" w14:textId="3A0D594A"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56346">
              <w:rPr>
                <w:rFonts w:ascii="Arial Narrow" w:hAnsi="Arial Narrow"/>
              </w:rPr>
              <w:t>Version numérique en PDF</w:t>
            </w:r>
          </w:p>
        </w:tc>
      </w:tr>
      <w:tr w:rsidR="00AE19A3" w:rsidRPr="00F56346" w14:paraId="48F77EAD"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70BC27A" w14:textId="35883988" w:rsidR="00AE19A3" w:rsidRPr="00F56346" w:rsidRDefault="00AE19A3" w:rsidP="00AE19A3">
            <w:pPr>
              <w:rPr>
                <w:rFonts w:ascii="Arial Narrow" w:hAnsi="Arial Narrow"/>
                <w:b w:val="0"/>
              </w:rPr>
            </w:pPr>
            <w:r w:rsidRPr="00F4408A">
              <w:rPr>
                <w:rFonts w:ascii="Arial Narrow" w:hAnsi="Arial Narrow"/>
                <w:b w:val="0"/>
              </w:rPr>
              <w:t>12</w:t>
            </w:r>
          </w:p>
        </w:tc>
        <w:tc>
          <w:tcPr>
            <w:tcW w:w="1333" w:type="pct"/>
            <w:vAlign w:val="center"/>
          </w:tcPr>
          <w:p w14:paraId="1930C4C6" w14:textId="02179F0D" w:rsidR="00AE19A3" w:rsidRPr="00F56346" w:rsidRDefault="00AE19A3" w:rsidP="00AE19A3">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Difficultés rencontrées</w:t>
            </w:r>
          </w:p>
        </w:tc>
        <w:tc>
          <w:tcPr>
            <w:tcW w:w="3415" w:type="pct"/>
            <w:vAlign w:val="center"/>
          </w:tcPr>
          <w:p w14:paraId="7EF99C8B" w14:textId="27725C38"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56346">
              <w:rPr>
                <w:rFonts w:ascii="Arial Narrow" w:hAnsi="Arial Narrow"/>
              </w:rPr>
              <w:t>Trop de dépôts de transit sauvages</w:t>
            </w:r>
            <w:r>
              <w:rPr>
                <w:rFonts w:ascii="Arial Narrow" w:hAnsi="Arial Narrow"/>
              </w:rPr>
              <w:t xml:space="preserve"> difficiles à suivre à moyen et long terme</w:t>
            </w:r>
          </w:p>
        </w:tc>
      </w:tr>
      <w:tr w:rsidR="00AE19A3" w:rsidRPr="00F56346" w14:paraId="4C15AEDF"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C38831" w14:textId="51A35F15" w:rsidR="00AE19A3" w:rsidRPr="00F56346" w:rsidRDefault="00AE19A3" w:rsidP="00AE19A3">
            <w:pPr>
              <w:rPr>
                <w:rFonts w:ascii="Arial Narrow" w:hAnsi="Arial Narrow"/>
                <w:b w:val="0"/>
              </w:rPr>
            </w:pPr>
            <w:r w:rsidRPr="00F4408A">
              <w:rPr>
                <w:rFonts w:ascii="Arial Narrow" w:hAnsi="Arial Narrow"/>
                <w:b w:val="0"/>
              </w:rPr>
              <w:t>13</w:t>
            </w:r>
          </w:p>
        </w:tc>
        <w:tc>
          <w:tcPr>
            <w:tcW w:w="1333" w:type="pct"/>
            <w:vAlign w:val="center"/>
          </w:tcPr>
          <w:p w14:paraId="3D4C955F" w14:textId="661A33CF" w:rsidR="00AE19A3" w:rsidRPr="00F56346" w:rsidRDefault="00AE19A3" w:rsidP="00AE19A3">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Perspectives</w:t>
            </w:r>
          </w:p>
        </w:tc>
        <w:tc>
          <w:tcPr>
            <w:tcW w:w="3415" w:type="pct"/>
            <w:vAlign w:val="center"/>
          </w:tcPr>
          <w:p w14:paraId="3E0B219F" w14:textId="46E8366A"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56346">
              <w:rPr>
                <w:rFonts w:ascii="Arial Narrow" w:hAnsi="Arial Narrow"/>
              </w:rPr>
              <w:t>Une enquête est en cours pour 2025</w:t>
            </w:r>
          </w:p>
        </w:tc>
      </w:tr>
      <w:tr w:rsidR="00AE19A3" w:rsidRPr="00F56346" w14:paraId="7FBE4032"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6E2803E" w14:textId="0EAA2447" w:rsidR="00AE19A3" w:rsidRPr="00F56346" w:rsidRDefault="00AE19A3" w:rsidP="00AE19A3">
            <w:pPr>
              <w:rPr>
                <w:rFonts w:ascii="Arial Narrow" w:hAnsi="Arial Narrow"/>
                <w:b w:val="0"/>
              </w:rPr>
            </w:pPr>
            <w:r w:rsidRPr="00F4408A">
              <w:rPr>
                <w:rFonts w:ascii="Arial Narrow" w:hAnsi="Arial Narrow"/>
                <w:b w:val="0"/>
              </w:rPr>
              <w:t>14</w:t>
            </w:r>
          </w:p>
        </w:tc>
        <w:tc>
          <w:tcPr>
            <w:tcW w:w="1333" w:type="pct"/>
            <w:vAlign w:val="center"/>
          </w:tcPr>
          <w:p w14:paraId="6A5EC58E" w14:textId="68BC842C" w:rsidR="00AE19A3" w:rsidRPr="00F56346" w:rsidRDefault="00AE19A3" w:rsidP="00AE19A3">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Recommandations</w:t>
            </w:r>
          </w:p>
        </w:tc>
        <w:tc>
          <w:tcPr>
            <w:tcW w:w="3415" w:type="pct"/>
            <w:vAlign w:val="center"/>
          </w:tcPr>
          <w:p w14:paraId="50CDBC51" w14:textId="6009AB7B"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E19A3" w:rsidRPr="00F56346" w14:paraId="70E91974"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0B1B706" w14:textId="3C0C63B6" w:rsidR="00AE19A3" w:rsidRPr="00F56346" w:rsidRDefault="00AE19A3" w:rsidP="00AE19A3">
            <w:pPr>
              <w:rPr>
                <w:rFonts w:ascii="Arial Narrow" w:hAnsi="Arial Narrow"/>
                <w:b w:val="0"/>
              </w:rPr>
            </w:pPr>
            <w:r w:rsidRPr="00F4408A">
              <w:rPr>
                <w:rFonts w:ascii="Arial Narrow" w:hAnsi="Arial Narrow"/>
                <w:b w:val="0"/>
              </w:rPr>
              <w:t>15</w:t>
            </w:r>
          </w:p>
        </w:tc>
        <w:tc>
          <w:tcPr>
            <w:tcW w:w="1333" w:type="pct"/>
            <w:vAlign w:val="center"/>
          </w:tcPr>
          <w:p w14:paraId="7CC73A91" w14:textId="11ABCF28" w:rsidR="00AE19A3" w:rsidRPr="00F56346" w:rsidRDefault="00AE19A3" w:rsidP="00AE19A3">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Autres Remarques/observations</w:t>
            </w:r>
          </w:p>
        </w:tc>
        <w:tc>
          <w:tcPr>
            <w:tcW w:w="3415" w:type="pct"/>
            <w:vAlign w:val="center"/>
          </w:tcPr>
          <w:p w14:paraId="021EC145" w14:textId="6E047861" w:rsidR="00AE19A3" w:rsidRPr="00F56346" w:rsidRDefault="00AE19A3" w:rsidP="00AE19A3">
            <w:pPr>
              <w:jc w:val="both"/>
              <w:cnfStyle w:val="000000100000" w:firstRow="0" w:lastRow="0" w:firstColumn="0" w:lastColumn="0" w:oddVBand="0" w:evenVBand="0" w:oddHBand="1" w:evenHBand="0" w:firstRowFirstColumn="0" w:firstRowLastColumn="0" w:lastRowFirstColumn="0" w:lastRowLastColumn="0"/>
              <w:rPr>
                <w:rFonts w:ascii="Arial Narrow" w:hAnsi="Arial Narrow"/>
                <w:i/>
                <w:iCs/>
              </w:rPr>
            </w:pPr>
          </w:p>
        </w:tc>
      </w:tr>
      <w:tr w:rsidR="00AE19A3" w:rsidRPr="00F56346" w14:paraId="4B4FE95D"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A833EB9" w14:textId="638006EB" w:rsidR="00AE19A3" w:rsidRPr="00F56346" w:rsidRDefault="00AE19A3" w:rsidP="00AE19A3">
            <w:pPr>
              <w:rPr>
                <w:rFonts w:ascii="Arial Narrow" w:hAnsi="Arial Narrow"/>
                <w:b w:val="0"/>
              </w:rPr>
            </w:pPr>
            <w:r w:rsidRPr="00F4408A">
              <w:rPr>
                <w:rFonts w:ascii="Arial Narrow" w:hAnsi="Arial Narrow"/>
                <w:b w:val="0"/>
              </w:rPr>
              <w:lastRenderedPageBreak/>
              <w:t>16</w:t>
            </w:r>
          </w:p>
        </w:tc>
        <w:tc>
          <w:tcPr>
            <w:tcW w:w="1333" w:type="pct"/>
            <w:vAlign w:val="center"/>
          </w:tcPr>
          <w:p w14:paraId="280A2556" w14:textId="3E1D541B" w:rsidR="00AE19A3" w:rsidRPr="00F56346" w:rsidRDefault="00AE19A3" w:rsidP="00AE19A3">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bCs/>
              </w:rPr>
              <w:t>Annexes optionnelles pour les bases de données/sites</w:t>
            </w:r>
          </w:p>
        </w:tc>
        <w:tc>
          <w:tcPr>
            <w:tcW w:w="3415" w:type="pct"/>
            <w:vAlign w:val="center"/>
          </w:tcPr>
          <w:p w14:paraId="28471DD3" w14:textId="3C8B1441" w:rsidR="00AE19A3" w:rsidRPr="00F56346" w:rsidRDefault="00AE19A3" w:rsidP="00AE19A3">
            <w:pPr>
              <w:jc w:val="both"/>
              <w:cnfStyle w:val="000000000000" w:firstRow="0" w:lastRow="0" w:firstColumn="0" w:lastColumn="0" w:oddVBand="0" w:evenVBand="0" w:oddHBand="0" w:evenHBand="0" w:firstRowFirstColumn="0" w:firstRowLastColumn="0" w:lastRowFirstColumn="0" w:lastRowLastColumn="0"/>
              <w:rPr>
                <w:rFonts w:ascii="Arial Narrow" w:hAnsi="Arial Narrow"/>
                <w:i/>
                <w:iCs/>
              </w:rPr>
            </w:pPr>
          </w:p>
        </w:tc>
      </w:tr>
    </w:tbl>
    <w:p w14:paraId="3D11971E" w14:textId="77777777" w:rsidR="00C4120E" w:rsidRDefault="00C4120E"/>
    <w:sectPr w:rsidR="00C41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0E"/>
    <w:rsid w:val="00074F28"/>
    <w:rsid w:val="000F5888"/>
    <w:rsid w:val="0011559A"/>
    <w:rsid w:val="001A5BC3"/>
    <w:rsid w:val="00262068"/>
    <w:rsid w:val="00327CD1"/>
    <w:rsid w:val="00357869"/>
    <w:rsid w:val="0043083B"/>
    <w:rsid w:val="004422D5"/>
    <w:rsid w:val="00494F01"/>
    <w:rsid w:val="004E4DF8"/>
    <w:rsid w:val="005D53C1"/>
    <w:rsid w:val="005F6AFC"/>
    <w:rsid w:val="007422B7"/>
    <w:rsid w:val="00744767"/>
    <w:rsid w:val="008C0569"/>
    <w:rsid w:val="008C6B3A"/>
    <w:rsid w:val="00955964"/>
    <w:rsid w:val="009B508A"/>
    <w:rsid w:val="00AE19A3"/>
    <w:rsid w:val="00BD53D3"/>
    <w:rsid w:val="00C36243"/>
    <w:rsid w:val="00C4120E"/>
    <w:rsid w:val="00C9081E"/>
    <w:rsid w:val="00D039E0"/>
    <w:rsid w:val="00D31BBA"/>
    <w:rsid w:val="00D3672E"/>
    <w:rsid w:val="00D614CB"/>
    <w:rsid w:val="00D70CFC"/>
    <w:rsid w:val="00DA7831"/>
    <w:rsid w:val="00DD566A"/>
    <w:rsid w:val="00DD75FE"/>
    <w:rsid w:val="00DE789D"/>
    <w:rsid w:val="00E4147A"/>
    <w:rsid w:val="00F56346"/>
    <w:rsid w:val="00F812AE"/>
    <w:rsid w:val="00FD1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85FA"/>
  <w15:chartTrackingRefBased/>
  <w15:docId w15:val="{C0094831-321A-4C57-A984-58A39AA9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20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412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12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120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120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120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12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12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12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12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20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4120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4120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4120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4120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412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12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12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120E"/>
    <w:rPr>
      <w:rFonts w:eastAsiaTheme="majorEastAsia" w:cstheme="majorBidi"/>
      <w:color w:val="272727" w:themeColor="text1" w:themeTint="D8"/>
    </w:rPr>
  </w:style>
  <w:style w:type="paragraph" w:styleId="Titre">
    <w:name w:val="Title"/>
    <w:basedOn w:val="Normal"/>
    <w:next w:val="Normal"/>
    <w:link w:val="TitreCar"/>
    <w:uiPriority w:val="10"/>
    <w:qFormat/>
    <w:rsid w:val="00C412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12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12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12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120E"/>
    <w:pPr>
      <w:spacing w:before="160"/>
      <w:jc w:val="center"/>
    </w:pPr>
    <w:rPr>
      <w:i/>
      <w:iCs/>
      <w:color w:val="404040" w:themeColor="text1" w:themeTint="BF"/>
    </w:rPr>
  </w:style>
  <w:style w:type="character" w:customStyle="1" w:styleId="CitationCar">
    <w:name w:val="Citation Car"/>
    <w:basedOn w:val="Policepardfaut"/>
    <w:link w:val="Citation"/>
    <w:uiPriority w:val="29"/>
    <w:rsid w:val="00C4120E"/>
    <w:rPr>
      <w:i/>
      <w:iCs/>
      <w:color w:val="404040" w:themeColor="text1" w:themeTint="BF"/>
    </w:rPr>
  </w:style>
  <w:style w:type="paragraph" w:styleId="Paragraphedeliste">
    <w:name w:val="List Paragraph"/>
    <w:basedOn w:val="Normal"/>
    <w:uiPriority w:val="34"/>
    <w:qFormat/>
    <w:rsid w:val="00C4120E"/>
    <w:pPr>
      <w:ind w:left="720"/>
      <w:contextualSpacing/>
    </w:pPr>
  </w:style>
  <w:style w:type="character" w:styleId="Accentuationintense">
    <w:name w:val="Intense Emphasis"/>
    <w:basedOn w:val="Policepardfaut"/>
    <w:uiPriority w:val="21"/>
    <w:qFormat/>
    <w:rsid w:val="00C4120E"/>
    <w:rPr>
      <w:i/>
      <w:iCs/>
      <w:color w:val="2F5496" w:themeColor="accent1" w:themeShade="BF"/>
    </w:rPr>
  </w:style>
  <w:style w:type="paragraph" w:styleId="Citationintense">
    <w:name w:val="Intense Quote"/>
    <w:basedOn w:val="Normal"/>
    <w:next w:val="Normal"/>
    <w:link w:val="CitationintenseCar"/>
    <w:uiPriority w:val="30"/>
    <w:qFormat/>
    <w:rsid w:val="00C41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120E"/>
    <w:rPr>
      <w:i/>
      <w:iCs/>
      <w:color w:val="2F5496" w:themeColor="accent1" w:themeShade="BF"/>
    </w:rPr>
  </w:style>
  <w:style w:type="character" w:styleId="Rfrenceintense">
    <w:name w:val="Intense Reference"/>
    <w:basedOn w:val="Policepardfaut"/>
    <w:uiPriority w:val="32"/>
    <w:qFormat/>
    <w:rsid w:val="00C4120E"/>
    <w:rPr>
      <w:b/>
      <w:bCs/>
      <w:smallCaps/>
      <w:color w:val="2F5496" w:themeColor="accent1" w:themeShade="BF"/>
      <w:spacing w:val="5"/>
    </w:rPr>
  </w:style>
  <w:style w:type="character" w:styleId="Lienhypertexte">
    <w:name w:val="Hyperlink"/>
    <w:basedOn w:val="Policepardfaut"/>
    <w:uiPriority w:val="99"/>
    <w:unhideWhenUsed/>
    <w:rsid w:val="00C4120E"/>
    <w:rPr>
      <w:color w:val="0563C1" w:themeColor="hyperlink"/>
      <w:u w:val="single"/>
    </w:rPr>
  </w:style>
  <w:style w:type="table" w:customStyle="1" w:styleId="TableauGrille2-Accentuation11">
    <w:name w:val="Tableau Grille 2 - Accentuation 11"/>
    <w:basedOn w:val="TableauNormal"/>
    <w:uiPriority w:val="47"/>
    <w:rsid w:val="00C4120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453</Words>
  <Characters>2496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Modibo TRAORE</dc:creator>
  <cp:keywords/>
  <dc:description/>
  <cp:lastModifiedBy>Modibo TRAORE</cp:lastModifiedBy>
  <cp:revision>11</cp:revision>
  <dcterms:created xsi:type="dcterms:W3CDTF">2025-06-25T19:06:00Z</dcterms:created>
  <dcterms:modified xsi:type="dcterms:W3CDTF">2025-07-07T08:55:00Z</dcterms:modified>
</cp:coreProperties>
</file>